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4957" w:rsidRPr="00724957" w:rsidRDefault="00724957" w:rsidP="00724957">
      <w:pPr>
        <w:spacing w:after="0" w:line="240" w:lineRule="auto"/>
        <w:rPr>
          <w:rFonts w:ascii="Times New Roman" w:eastAsia="Times New Roman" w:hAnsi="Times New Roman" w:cs="Times New Roman"/>
          <w:sz w:val="24"/>
          <w:szCs w:val="24"/>
          <w:lang w:eastAsia="ru-RU"/>
        </w:rPr>
      </w:pPr>
      <w:r w:rsidRPr="00724957">
        <w:rPr>
          <w:rFonts w:ascii="Times New Roman" w:eastAsia="Times New Roman" w:hAnsi="Times New Roman" w:cs="Times New Roman"/>
          <w:b/>
          <w:bCs/>
          <w:color w:val="000000"/>
          <w:sz w:val="27"/>
          <w:szCs w:val="27"/>
          <w:lang w:eastAsia="ru-RU"/>
        </w:rPr>
        <w:t>Тема</w:t>
      </w:r>
      <w:r>
        <w:rPr>
          <w:rFonts w:ascii="Times New Roman" w:eastAsia="Times New Roman" w:hAnsi="Times New Roman" w:cs="Times New Roman"/>
          <w:b/>
          <w:bCs/>
          <w:color w:val="000000"/>
          <w:sz w:val="27"/>
          <w:szCs w:val="27"/>
          <w:lang w:eastAsia="ru-RU"/>
        </w:rPr>
        <w:t xml:space="preserve"> 1</w:t>
      </w:r>
      <w:bookmarkStart w:id="0" w:name="_GoBack"/>
      <w:bookmarkEnd w:id="0"/>
      <w:r w:rsidRPr="00724957">
        <w:rPr>
          <w:rFonts w:ascii="Times New Roman" w:eastAsia="Times New Roman" w:hAnsi="Times New Roman" w:cs="Times New Roman"/>
          <w:b/>
          <w:bCs/>
          <w:color w:val="000000"/>
          <w:sz w:val="27"/>
          <w:szCs w:val="27"/>
          <w:lang w:eastAsia="ru-RU"/>
        </w:rPr>
        <w:t>_ Интеллектуальный капитал: сущность, структура, оценка</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1. Структура интеллектуального капитала</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2. Различия физического и интеллектуального капитала</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3. Оценка интеллектуального капитала</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4. Управление интеллектуальной собственностью.</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1. Структура интеллектуального капитала</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В последнее время в мировой экономической литературе широко используется понятие “</w:t>
      </w:r>
      <w:r w:rsidRPr="00724957">
        <w:rPr>
          <w:rFonts w:ascii="Times New Roman" w:eastAsia="Times New Roman" w:hAnsi="Times New Roman" w:cs="Times New Roman"/>
          <w:color w:val="000000"/>
          <w:sz w:val="27"/>
          <w:szCs w:val="27"/>
          <w:u w:val="single"/>
          <w:lang w:eastAsia="ru-RU"/>
        </w:rPr>
        <w:t>интеллектуальный капитал</w:t>
      </w:r>
      <w:r w:rsidRPr="00724957">
        <w:rPr>
          <w:rFonts w:ascii="Times New Roman" w:eastAsia="Times New Roman" w:hAnsi="Times New Roman" w:cs="Times New Roman"/>
          <w:color w:val="000000"/>
          <w:sz w:val="27"/>
          <w:szCs w:val="27"/>
          <w:shd w:val="clear" w:color="auto" w:fill="FFFFFF"/>
          <w:lang w:eastAsia="ru-RU"/>
        </w:rPr>
        <w:t>”</w:t>
      </w:r>
      <w:r w:rsidRPr="00724957">
        <w:rPr>
          <w:rFonts w:ascii="Times New Roman" w:eastAsia="Times New Roman" w:hAnsi="Times New Roman" w:cs="Times New Roman"/>
          <w:color w:val="000000"/>
          <w:sz w:val="24"/>
          <w:szCs w:val="24"/>
          <w:vertAlign w:val="superscript"/>
          <w:lang w:eastAsia="ru-RU"/>
        </w:rPr>
        <w:t>1</w:t>
      </w:r>
      <w:r w:rsidRPr="00724957">
        <w:rPr>
          <w:rFonts w:ascii="Times New Roman" w:eastAsia="Times New Roman" w:hAnsi="Times New Roman" w:cs="Times New Roman"/>
          <w:color w:val="000000"/>
          <w:sz w:val="27"/>
          <w:szCs w:val="27"/>
          <w:shd w:val="clear" w:color="auto" w:fill="FFFFFF"/>
          <w:lang w:eastAsia="ru-RU"/>
        </w:rPr>
        <w:t>. Данный термин пока </w:t>
      </w:r>
      <w:r w:rsidRPr="00724957">
        <w:rPr>
          <w:rFonts w:ascii="Times New Roman" w:eastAsia="Times New Roman" w:hAnsi="Times New Roman" w:cs="Times New Roman"/>
          <w:color w:val="000000"/>
          <w:sz w:val="27"/>
          <w:szCs w:val="27"/>
          <w:u w:val="single"/>
          <w:lang w:eastAsia="ru-RU"/>
        </w:rPr>
        <w:t>еще не устоялся</w:t>
      </w:r>
      <w:r w:rsidRPr="00724957">
        <w:rPr>
          <w:rFonts w:ascii="Times New Roman" w:eastAsia="Times New Roman" w:hAnsi="Times New Roman" w:cs="Times New Roman"/>
          <w:color w:val="000000"/>
          <w:sz w:val="27"/>
          <w:szCs w:val="27"/>
          <w:shd w:val="clear" w:color="auto" w:fill="FFFFFF"/>
          <w:lang w:eastAsia="ru-RU"/>
        </w:rPr>
        <w:t>, наряду с ним применяются сходные термины: «нематериальные активы», «интеллектуальный потенциал», «активы знаний» и т.д.</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ИНТЕЛЛЕКТУАЛЬНЫЙ КАПИТАЛ – это знания, информация, опыт, организационные возможности, информационные каналы, которые можно использовать, чтобы создавать богатство. Интеллектуальный капитал – это знания, которые могут быть конвертированы в стоимость, другими словами, это сумма всего того, что знают и чем обладают работники и что формирует конкурентоспособность организации. Интеллектуальный </w:t>
      </w:r>
      <w:r w:rsidRPr="00724957">
        <w:rPr>
          <w:rFonts w:ascii="Times New Roman" w:eastAsia="Times New Roman" w:hAnsi="Times New Roman" w:cs="Times New Roman"/>
          <w:color w:val="000000"/>
          <w:sz w:val="27"/>
          <w:szCs w:val="27"/>
          <w:u w:val="single"/>
          <w:lang w:eastAsia="ru-RU"/>
        </w:rPr>
        <w:t>капитал трудно точно идентифицировать</w:t>
      </w:r>
      <w:r w:rsidRPr="00724957">
        <w:rPr>
          <w:rFonts w:ascii="Times New Roman" w:eastAsia="Times New Roman" w:hAnsi="Times New Roman" w:cs="Times New Roman"/>
          <w:color w:val="000000"/>
          <w:sz w:val="27"/>
          <w:szCs w:val="27"/>
          <w:shd w:val="clear" w:color="auto" w:fill="FFFFFF"/>
          <w:lang w:eastAsia="ru-RU"/>
        </w:rPr>
        <w:t> и еще </w:t>
      </w:r>
      <w:r w:rsidRPr="00724957">
        <w:rPr>
          <w:rFonts w:ascii="Times New Roman" w:eastAsia="Times New Roman" w:hAnsi="Times New Roman" w:cs="Times New Roman"/>
          <w:color w:val="000000"/>
          <w:sz w:val="27"/>
          <w:szCs w:val="27"/>
          <w:u w:val="single"/>
          <w:lang w:eastAsia="ru-RU"/>
        </w:rPr>
        <w:t>труднее эффективно применять</w:t>
      </w:r>
      <w:r w:rsidRPr="00724957">
        <w:rPr>
          <w:rFonts w:ascii="Times New Roman" w:eastAsia="Times New Roman" w:hAnsi="Times New Roman" w:cs="Times New Roman"/>
          <w:color w:val="000000"/>
          <w:sz w:val="27"/>
          <w:szCs w:val="27"/>
          <w:shd w:val="clear" w:color="auto" w:fill="FFFFFF"/>
          <w:lang w:eastAsia="ru-RU"/>
        </w:rPr>
        <w:t>.</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Компании сегодняшнего дня сильно отличаются от компаний прошлого, прежде всего новой структурой капитала. Сегодня </w:t>
      </w:r>
      <w:r w:rsidRPr="00724957">
        <w:rPr>
          <w:rFonts w:ascii="Times New Roman" w:eastAsia="Times New Roman" w:hAnsi="Times New Roman" w:cs="Times New Roman"/>
          <w:b/>
          <w:bCs/>
          <w:color w:val="000000"/>
          <w:sz w:val="27"/>
          <w:szCs w:val="27"/>
          <w:u w:val="single"/>
          <w:lang w:eastAsia="ru-RU"/>
        </w:rPr>
        <w:t>не материальные запасы</w:t>
      </w:r>
      <w:r w:rsidRPr="00724957">
        <w:rPr>
          <w:rFonts w:ascii="Times New Roman" w:eastAsia="Times New Roman" w:hAnsi="Times New Roman" w:cs="Times New Roman"/>
          <w:color w:val="000000"/>
          <w:sz w:val="27"/>
          <w:szCs w:val="27"/>
          <w:shd w:val="clear" w:color="auto" w:fill="FFFFFF"/>
          <w:lang w:eastAsia="ru-RU"/>
        </w:rPr>
        <w:t> определяют этот капитал, не основные фонды, </w:t>
      </w:r>
      <w:r w:rsidRPr="00724957">
        <w:rPr>
          <w:rFonts w:ascii="Times New Roman" w:eastAsia="Times New Roman" w:hAnsi="Times New Roman" w:cs="Times New Roman"/>
          <w:b/>
          <w:bCs/>
          <w:color w:val="000000"/>
          <w:sz w:val="27"/>
          <w:szCs w:val="27"/>
          <w:u w:val="single"/>
          <w:lang w:eastAsia="ru-RU"/>
        </w:rPr>
        <w:t>а информация, знания</w:t>
      </w:r>
      <w:r w:rsidRPr="00724957">
        <w:rPr>
          <w:rFonts w:ascii="Times New Roman" w:eastAsia="Times New Roman" w:hAnsi="Times New Roman" w:cs="Times New Roman"/>
          <w:color w:val="000000"/>
          <w:sz w:val="27"/>
          <w:szCs w:val="27"/>
          <w:shd w:val="clear" w:color="auto" w:fill="FFFFFF"/>
          <w:lang w:eastAsia="ru-RU"/>
        </w:rPr>
        <w:t> (интеллектуальный капитал).</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Основу деятельности </w:t>
      </w:r>
      <w:r w:rsidRPr="00724957">
        <w:rPr>
          <w:rFonts w:ascii="Times New Roman" w:eastAsia="Times New Roman" w:hAnsi="Times New Roman" w:cs="Times New Roman"/>
          <w:i/>
          <w:iCs/>
          <w:color w:val="000000"/>
          <w:sz w:val="27"/>
          <w:szCs w:val="27"/>
          <w:u w:val="single"/>
          <w:lang w:eastAsia="ru-RU"/>
        </w:rPr>
        <w:t>традиционной компании</w:t>
      </w:r>
      <w:r w:rsidRPr="00724957">
        <w:rPr>
          <w:rFonts w:ascii="Times New Roman" w:eastAsia="Times New Roman" w:hAnsi="Times New Roman" w:cs="Times New Roman"/>
          <w:color w:val="000000"/>
          <w:sz w:val="27"/>
          <w:szCs w:val="27"/>
          <w:shd w:val="clear" w:color="auto" w:fill="FFFFFF"/>
          <w:lang w:eastAsia="ru-RU"/>
        </w:rPr>
        <w:t> составляет совокупность основных фондов, которые находятся </w:t>
      </w:r>
      <w:r w:rsidRPr="00724957">
        <w:rPr>
          <w:rFonts w:ascii="Times New Roman" w:eastAsia="Times New Roman" w:hAnsi="Times New Roman" w:cs="Times New Roman"/>
          <w:i/>
          <w:iCs/>
          <w:color w:val="000000"/>
          <w:sz w:val="27"/>
          <w:szCs w:val="27"/>
          <w:lang w:eastAsia="ru-RU"/>
        </w:rPr>
        <w:t>в собственности владельцев</w:t>
      </w:r>
      <w:r w:rsidRPr="00724957">
        <w:rPr>
          <w:rFonts w:ascii="Times New Roman" w:eastAsia="Times New Roman" w:hAnsi="Times New Roman" w:cs="Times New Roman"/>
          <w:color w:val="000000"/>
          <w:sz w:val="27"/>
          <w:szCs w:val="27"/>
          <w:shd w:val="clear" w:color="auto" w:fill="FFFFFF"/>
          <w:lang w:eastAsia="ru-RU"/>
        </w:rPr>
        <w:t> компании. Эти владельцы несут ответственность за их сохранность и нанимают работников для приведения их в действие. </w:t>
      </w:r>
      <w:r w:rsidRPr="00724957">
        <w:rPr>
          <w:rFonts w:ascii="Times New Roman" w:eastAsia="Times New Roman" w:hAnsi="Times New Roman" w:cs="Times New Roman"/>
          <w:i/>
          <w:iCs/>
          <w:color w:val="000000"/>
          <w:sz w:val="27"/>
          <w:szCs w:val="27"/>
          <w:u w:val="single"/>
          <w:lang w:eastAsia="ru-RU"/>
        </w:rPr>
        <w:t>Современная компания</w:t>
      </w:r>
      <w:r w:rsidRPr="00724957">
        <w:rPr>
          <w:rFonts w:ascii="Times New Roman" w:eastAsia="Times New Roman" w:hAnsi="Times New Roman" w:cs="Times New Roman"/>
          <w:color w:val="000000"/>
          <w:sz w:val="27"/>
          <w:szCs w:val="27"/>
          <w:shd w:val="clear" w:color="auto" w:fill="FFFFFF"/>
          <w:lang w:eastAsia="ru-RU"/>
        </w:rPr>
        <w:t> это, прежде всего, интеллектуальный капитал, который не имеет материальной формы, и его определенная часть </w:t>
      </w:r>
      <w:r w:rsidRPr="00724957">
        <w:rPr>
          <w:rFonts w:ascii="Times New Roman" w:eastAsia="Times New Roman" w:hAnsi="Times New Roman" w:cs="Times New Roman"/>
          <w:i/>
          <w:iCs/>
          <w:color w:val="000000"/>
          <w:sz w:val="27"/>
          <w:szCs w:val="27"/>
          <w:lang w:eastAsia="ru-RU"/>
        </w:rPr>
        <w:t>не принадлежит полностью владельцу</w:t>
      </w:r>
      <w:r w:rsidRPr="00724957">
        <w:rPr>
          <w:rFonts w:ascii="Times New Roman" w:eastAsia="Times New Roman" w:hAnsi="Times New Roman" w:cs="Times New Roman"/>
          <w:color w:val="000000"/>
          <w:sz w:val="27"/>
          <w:szCs w:val="27"/>
          <w:shd w:val="clear" w:color="auto" w:fill="FFFFFF"/>
          <w:lang w:eastAsia="ru-RU"/>
        </w:rPr>
        <w:t>.</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bookmarkStart w:id="1" w:name="_ref509545630"/>
      <w:bookmarkStart w:id="2" w:name="_ref512864110"/>
      <w:bookmarkEnd w:id="1"/>
      <w:bookmarkEnd w:id="2"/>
      <w:r w:rsidRPr="00724957">
        <w:rPr>
          <w:rFonts w:ascii="Times New Roman" w:eastAsia="Times New Roman" w:hAnsi="Times New Roman" w:cs="Times New Roman"/>
          <w:color w:val="000000"/>
          <w:sz w:val="27"/>
          <w:szCs w:val="27"/>
          <w:shd w:val="clear" w:color="auto" w:fill="FFFFFF"/>
          <w:lang w:eastAsia="ru-RU"/>
        </w:rPr>
        <w:t>Страховая компания </w:t>
      </w:r>
      <w:r w:rsidRPr="00724957">
        <w:rPr>
          <w:rFonts w:ascii="Times New Roman" w:eastAsia="Times New Roman" w:hAnsi="Times New Roman" w:cs="Times New Roman"/>
          <w:b/>
          <w:bCs/>
          <w:i/>
          <w:iCs/>
          <w:color w:val="000000"/>
          <w:sz w:val="27"/>
          <w:szCs w:val="27"/>
          <w:lang w:eastAsia="ru-RU"/>
        </w:rPr>
        <w:t>Скандия</w:t>
      </w:r>
      <w:r w:rsidRPr="00724957">
        <w:rPr>
          <w:rFonts w:ascii="Times New Roman" w:eastAsia="Times New Roman" w:hAnsi="Times New Roman" w:cs="Times New Roman"/>
          <w:color w:val="000000"/>
          <w:sz w:val="27"/>
          <w:szCs w:val="27"/>
          <w:shd w:val="clear" w:color="auto" w:fill="FFFFFF"/>
          <w:lang w:eastAsia="ru-RU"/>
        </w:rPr>
        <w:t> стала одной из первых организаций, которая на практике применила концепцию интеллектуального капитала и предприняла попытку измерить отдельные его составляющие. Начиная с 1996 г., в своем годовом отчете она представляет собственный интеллектуальный капитал, который (по ее интерпретации) состоит из человеческого, организационного и клиентского капитала (см. схему на рис. 1).</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i/>
          <w:iCs/>
          <w:color w:val="000000"/>
          <w:sz w:val="27"/>
          <w:szCs w:val="27"/>
          <w:lang w:eastAsia="ru-RU"/>
        </w:rPr>
        <w:t xml:space="preserve">Именно данное представление основных составляющих интеллектуального капитала и данная терминология в дальнейшем стали весьма распространенными в научной литературе, посвященной проблемам </w:t>
      </w:r>
      <w:r w:rsidRPr="00724957">
        <w:rPr>
          <w:rFonts w:ascii="Times New Roman" w:eastAsia="Times New Roman" w:hAnsi="Times New Roman" w:cs="Times New Roman"/>
          <w:i/>
          <w:iCs/>
          <w:color w:val="000000"/>
          <w:sz w:val="27"/>
          <w:szCs w:val="27"/>
          <w:lang w:eastAsia="ru-RU"/>
        </w:rPr>
        <w:lastRenderedPageBreak/>
        <w:t>формирования и использования интеллектуального капитала. Именно эта классификация основных составляющих интеллектуального капитала использована в фундаментальном труде Т. Стюарта, одного</w:t>
      </w:r>
      <w:r w:rsidRPr="00724957">
        <w:rPr>
          <w:rFonts w:ascii="Times New Roman" w:eastAsia="Times New Roman" w:hAnsi="Times New Roman" w:cs="Times New Roman"/>
          <w:color w:val="000000"/>
          <w:sz w:val="27"/>
          <w:szCs w:val="27"/>
          <w:shd w:val="clear" w:color="auto" w:fill="FFFFFF"/>
          <w:lang w:eastAsia="ru-RU"/>
        </w:rPr>
        <w:t> из основоположников современной теории интеллектуального капитала.</w:t>
      </w:r>
      <w:r w:rsidRPr="00724957">
        <w:rPr>
          <w:rFonts w:ascii="Times New Roman" w:eastAsia="Times New Roman" w:hAnsi="Times New Roman" w:cs="Times New Roman"/>
          <w:color w:val="000000"/>
          <w:sz w:val="24"/>
          <w:szCs w:val="24"/>
          <w:vertAlign w:val="superscript"/>
          <w:lang w:eastAsia="ru-RU"/>
        </w:rPr>
        <w:t>2</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b/>
          <w:bCs/>
          <w:color w:val="000000"/>
          <w:sz w:val="27"/>
          <w:szCs w:val="27"/>
          <w:lang w:eastAsia="ru-RU"/>
        </w:rPr>
        <w:t>Рис. 1. Структура интеллектуального капитала</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noProof/>
          <w:sz w:val="24"/>
          <w:szCs w:val="24"/>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5324475" cy="3314700"/>
            <wp:effectExtent l="0" t="0" r="9525" b="0"/>
            <wp:wrapSquare wrapText="bothSides"/>
            <wp:docPr id="2" name="Рисунок 2" descr="http://gendocs.ru/forgendocs1/docs/5/4203/conv_1/file1_html_m73269c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gendocs.ru/forgendocs1/docs/5/4203/conv_1/file1_html_m73269c05.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24475" cy="3314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i/>
          <w:iCs/>
          <w:color w:val="000000"/>
          <w:sz w:val="27"/>
          <w:szCs w:val="27"/>
          <w:lang w:eastAsia="ru-RU"/>
        </w:rPr>
        <w:t>При этом организационный и потребительский капитал в классификации </w:t>
      </w:r>
      <w:r w:rsidRPr="00724957">
        <w:rPr>
          <w:rFonts w:ascii="Times New Roman" w:eastAsia="Times New Roman" w:hAnsi="Times New Roman" w:cs="Times New Roman"/>
          <w:b/>
          <w:bCs/>
          <w:i/>
          <w:iCs/>
          <w:color w:val="000000"/>
          <w:sz w:val="27"/>
          <w:szCs w:val="27"/>
          <w:lang w:eastAsia="ru-RU"/>
        </w:rPr>
        <w:t>Скандия</w:t>
      </w:r>
      <w:r w:rsidRPr="00724957">
        <w:rPr>
          <w:rFonts w:ascii="Times New Roman" w:eastAsia="Times New Roman" w:hAnsi="Times New Roman" w:cs="Times New Roman"/>
          <w:i/>
          <w:iCs/>
          <w:color w:val="000000"/>
          <w:sz w:val="27"/>
          <w:szCs w:val="27"/>
          <w:lang w:eastAsia="ru-RU"/>
        </w:rPr>
        <w:t> объединяется в один вид, который носит название структурного капитала.</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ВЕЛИЧИНА ИНТЕЛЛЕКТУАЛЬНОГО КАПИТАЛА в компании определяется как разница между рыночной оценкой стоимости компании и ее физическими активами.</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b/>
          <w:bCs/>
          <w:i/>
          <w:iCs/>
          <w:color w:val="000000"/>
          <w:sz w:val="27"/>
          <w:szCs w:val="27"/>
          <w:u w:val="single"/>
          <w:lang w:eastAsia="ru-RU"/>
        </w:rPr>
        <w:t>Человеческий капитал</w:t>
      </w:r>
      <w:r w:rsidRPr="00724957">
        <w:rPr>
          <w:rFonts w:ascii="Times New Roman" w:eastAsia="Times New Roman" w:hAnsi="Times New Roman" w:cs="Times New Roman"/>
          <w:color w:val="000000"/>
          <w:sz w:val="27"/>
          <w:szCs w:val="27"/>
          <w:shd w:val="clear" w:color="auto" w:fill="FFFFFF"/>
          <w:lang w:eastAsia="ru-RU"/>
        </w:rPr>
        <w:t> – та часть интеллектуального капитала, которая имеет непосредственное отношение к человеку. Это знания, практические навыки, творческие и мыслительные способности людей, их моральные ценности, культура труда. Человеческий капитал важен при проведении инноваций и любого обновления.</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b/>
          <w:bCs/>
          <w:i/>
          <w:iCs/>
          <w:color w:val="000000"/>
          <w:sz w:val="27"/>
          <w:szCs w:val="27"/>
          <w:u w:val="single"/>
          <w:lang w:eastAsia="ru-RU"/>
        </w:rPr>
        <w:t>Организационный капитал</w:t>
      </w:r>
      <w:r w:rsidRPr="00724957">
        <w:rPr>
          <w:rFonts w:ascii="Times New Roman" w:eastAsia="Times New Roman" w:hAnsi="Times New Roman" w:cs="Times New Roman"/>
          <w:b/>
          <w:bCs/>
          <w:color w:val="000000"/>
          <w:sz w:val="27"/>
          <w:szCs w:val="27"/>
          <w:lang w:eastAsia="ru-RU"/>
        </w:rPr>
        <w:t> –</w:t>
      </w:r>
      <w:r w:rsidRPr="00724957">
        <w:rPr>
          <w:rFonts w:ascii="Times New Roman" w:eastAsia="Times New Roman" w:hAnsi="Times New Roman" w:cs="Times New Roman"/>
          <w:color w:val="000000"/>
          <w:sz w:val="27"/>
          <w:szCs w:val="27"/>
          <w:shd w:val="clear" w:color="auto" w:fill="FFFFFF"/>
          <w:lang w:eastAsia="ru-RU"/>
        </w:rPr>
        <w:t> та часть интеллектуального капитала, которая имеет отношение к организации в целом. Это процедуры, технологии, системы управления, техническое и программное обеспечение, оргструктура, патенты, брэнды, культура организации, отношения с клиентами. </w:t>
      </w:r>
      <w:r w:rsidRPr="00724957">
        <w:rPr>
          <w:rFonts w:ascii="Times New Roman" w:eastAsia="Times New Roman" w:hAnsi="Times New Roman" w:cs="Times New Roman"/>
          <w:i/>
          <w:iCs/>
          <w:color w:val="000000"/>
          <w:sz w:val="27"/>
          <w:szCs w:val="27"/>
          <w:u w:val="single"/>
          <w:lang w:eastAsia="ru-RU"/>
        </w:rPr>
        <w:t>Организационный капитал – это организационные возможности фирмы ответить на требования рынка</w:t>
      </w:r>
      <w:r w:rsidRPr="00724957">
        <w:rPr>
          <w:rFonts w:ascii="Times New Roman" w:eastAsia="Times New Roman" w:hAnsi="Times New Roman" w:cs="Times New Roman"/>
          <w:color w:val="000000"/>
          <w:sz w:val="27"/>
          <w:szCs w:val="27"/>
          <w:shd w:val="clear" w:color="auto" w:fill="FFFFFF"/>
          <w:lang w:eastAsia="ru-RU"/>
        </w:rPr>
        <w:t>. Он отвечает за то, как человеческий капитал используется в организационных системах, преобразуя информацию. Организационный капитал в большей степени является собственностью компании и может быть относительно самостоятельным объектом купли–продажи.</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lastRenderedPageBreak/>
        <w:br/>
      </w:r>
      <w:r w:rsidRPr="00724957">
        <w:rPr>
          <w:rFonts w:ascii="Times New Roman" w:eastAsia="Times New Roman" w:hAnsi="Times New Roman" w:cs="Times New Roman"/>
          <w:b/>
          <w:bCs/>
          <w:i/>
          <w:iCs/>
          <w:color w:val="000000"/>
          <w:sz w:val="27"/>
          <w:szCs w:val="27"/>
          <w:u w:val="single"/>
          <w:lang w:eastAsia="ru-RU"/>
        </w:rPr>
        <w:t>Потребительский или клиентский капитал</w:t>
      </w:r>
      <w:r w:rsidRPr="00724957">
        <w:rPr>
          <w:rFonts w:ascii="Times New Roman" w:eastAsia="Times New Roman" w:hAnsi="Times New Roman" w:cs="Times New Roman"/>
          <w:color w:val="000000"/>
          <w:sz w:val="27"/>
          <w:szCs w:val="27"/>
          <w:shd w:val="clear" w:color="auto" w:fill="FFFFFF"/>
          <w:lang w:eastAsia="ru-RU"/>
        </w:rPr>
        <w:t> – это капитал, который складывается из связей и устойчивых отношений с клиентами и потребителями. Одна из главных целей формирования потребительского капитала – создание такой структуры, которая позволяет потребителю продуктивно общаться с персоналом компании.</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i/>
          <w:iCs/>
          <w:color w:val="000000"/>
          <w:sz w:val="27"/>
          <w:szCs w:val="27"/>
          <w:lang w:eastAsia="ru-RU"/>
        </w:rPr>
        <w:t>Ряд авторов использует несколько иную классификацию состава интеллектуального капитала, подразделяя его на внутреннюю и внешнюю структуру, а также на компетенцию персонала</w:t>
      </w:r>
      <w:r w:rsidRPr="00724957">
        <w:rPr>
          <w:rFonts w:ascii="Times New Roman" w:eastAsia="Times New Roman" w:hAnsi="Times New Roman" w:cs="Times New Roman"/>
          <w:i/>
          <w:iCs/>
          <w:color w:val="000000"/>
          <w:sz w:val="24"/>
          <w:szCs w:val="24"/>
          <w:vertAlign w:val="superscript"/>
          <w:lang w:eastAsia="ru-RU"/>
        </w:rPr>
        <w:t>3</w:t>
      </w:r>
      <w:r w:rsidRPr="00724957">
        <w:rPr>
          <w:rFonts w:ascii="Times New Roman" w:eastAsia="Times New Roman" w:hAnsi="Times New Roman" w:cs="Times New Roman"/>
          <w:i/>
          <w:iCs/>
          <w:color w:val="000000"/>
          <w:sz w:val="27"/>
          <w:szCs w:val="27"/>
          <w:lang w:eastAsia="ru-RU"/>
        </w:rPr>
        <w:t>. При этом имеется четкое соответствие между этими</w:t>
      </w:r>
      <w:r w:rsidRPr="00724957">
        <w:rPr>
          <w:rFonts w:ascii="Times New Roman" w:eastAsia="Times New Roman" w:hAnsi="Times New Roman" w:cs="Times New Roman"/>
          <w:color w:val="000000"/>
          <w:sz w:val="27"/>
          <w:szCs w:val="27"/>
          <w:shd w:val="clear" w:color="auto" w:fill="FFFFFF"/>
          <w:lang w:eastAsia="ru-RU"/>
        </w:rPr>
        <w:t> </w:t>
      </w:r>
      <w:r w:rsidRPr="00724957">
        <w:rPr>
          <w:rFonts w:ascii="Times New Roman" w:eastAsia="Times New Roman" w:hAnsi="Times New Roman" w:cs="Times New Roman"/>
          <w:i/>
          <w:iCs/>
          <w:color w:val="000000"/>
          <w:sz w:val="27"/>
          <w:szCs w:val="27"/>
          <w:lang w:eastAsia="ru-RU"/>
        </w:rPr>
        <w:t>способами определения структуры интеллектуального капитала.</w:t>
      </w:r>
      <w:r w:rsidRPr="00724957">
        <w:rPr>
          <w:rFonts w:ascii="Times New Roman" w:eastAsia="Times New Roman" w:hAnsi="Times New Roman" w:cs="Times New Roman"/>
          <w:color w:val="000000"/>
          <w:sz w:val="27"/>
          <w:szCs w:val="27"/>
          <w:shd w:val="clear" w:color="auto" w:fill="FFFFFF"/>
          <w:lang w:eastAsia="ru-RU"/>
        </w:rPr>
        <w:t> Организационному капиталу соответствует внутренняя структура, потребительскому капиталу – внешняя структура, а человеческому капиталу – компетенция персонала. Конкретное наполнение этих терминов выглядит следующим образом:</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b/>
          <w:bCs/>
          <w:i/>
          <w:iCs/>
          <w:color w:val="000000"/>
          <w:sz w:val="27"/>
          <w:szCs w:val="27"/>
          <w:u w:val="single"/>
          <w:lang w:eastAsia="ru-RU"/>
        </w:rPr>
        <w:t>Компетенция сотрудников</w:t>
      </w:r>
      <w:r w:rsidRPr="00724957">
        <w:rPr>
          <w:rFonts w:ascii="Times New Roman" w:eastAsia="Times New Roman" w:hAnsi="Times New Roman" w:cs="Times New Roman"/>
          <w:b/>
          <w:bCs/>
          <w:i/>
          <w:iCs/>
          <w:color w:val="000000"/>
          <w:sz w:val="27"/>
          <w:szCs w:val="27"/>
          <w:lang w:eastAsia="ru-RU"/>
        </w:rPr>
        <w:t> </w:t>
      </w:r>
      <w:r w:rsidRPr="00724957">
        <w:rPr>
          <w:rFonts w:ascii="Times New Roman" w:eastAsia="Times New Roman" w:hAnsi="Times New Roman" w:cs="Times New Roman"/>
          <w:color w:val="000000"/>
          <w:sz w:val="27"/>
          <w:szCs w:val="27"/>
          <w:shd w:val="clear" w:color="auto" w:fill="FFFFFF"/>
          <w:lang w:eastAsia="ru-RU"/>
        </w:rPr>
        <w:t>–</w:t>
      </w:r>
      <w:r w:rsidRPr="00724957">
        <w:rPr>
          <w:rFonts w:ascii="Times New Roman" w:eastAsia="Times New Roman" w:hAnsi="Times New Roman" w:cs="Times New Roman"/>
          <w:b/>
          <w:bCs/>
          <w:i/>
          <w:iCs/>
          <w:color w:val="000000"/>
          <w:sz w:val="27"/>
          <w:szCs w:val="27"/>
          <w:lang w:eastAsia="ru-RU"/>
        </w:rPr>
        <w:t> </w:t>
      </w:r>
      <w:r w:rsidRPr="00724957">
        <w:rPr>
          <w:rFonts w:ascii="Times New Roman" w:eastAsia="Times New Roman" w:hAnsi="Times New Roman" w:cs="Times New Roman"/>
          <w:color w:val="000000"/>
          <w:sz w:val="27"/>
          <w:szCs w:val="27"/>
          <w:shd w:val="clear" w:color="auto" w:fill="FFFFFF"/>
          <w:lang w:eastAsia="ru-RU"/>
        </w:rPr>
        <w:t>это способность действовать в разнообразных ситуациях, образование, квалификация, умения и навыки, опыт, энергия, отношение к работе, к клиентам, уровень общей культуры.</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b/>
          <w:bCs/>
          <w:i/>
          <w:iCs/>
          <w:color w:val="000000"/>
          <w:sz w:val="27"/>
          <w:szCs w:val="27"/>
          <w:u w:val="single"/>
          <w:lang w:eastAsia="ru-RU"/>
        </w:rPr>
        <w:t>Внутренние структуры</w:t>
      </w:r>
      <w:r w:rsidRPr="00724957">
        <w:rPr>
          <w:rFonts w:ascii="Times New Roman" w:eastAsia="Times New Roman" w:hAnsi="Times New Roman" w:cs="Times New Roman"/>
          <w:b/>
          <w:bCs/>
          <w:i/>
          <w:iCs/>
          <w:color w:val="000000"/>
          <w:sz w:val="27"/>
          <w:szCs w:val="27"/>
          <w:lang w:eastAsia="ru-RU"/>
        </w:rPr>
        <w:t> </w:t>
      </w:r>
      <w:r w:rsidRPr="00724957">
        <w:rPr>
          <w:rFonts w:ascii="Times New Roman" w:eastAsia="Times New Roman" w:hAnsi="Times New Roman" w:cs="Times New Roman"/>
          <w:color w:val="000000"/>
          <w:sz w:val="27"/>
          <w:szCs w:val="27"/>
          <w:shd w:val="clear" w:color="auto" w:fill="FFFFFF"/>
          <w:lang w:eastAsia="ru-RU"/>
        </w:rPr>
        <w:t>–</w:t>
      </w:r>
      <w:r w:rsidRPr="00724957">
        <w:rPr>
          <w:rFonts w:ascii="Times New Roman" w:eastAsia="Times New Roman" w:hAnsi="Times New Roman" w:cs="Times New Roman"/>
          <w:b/>
          <w:bCs/>
          <w:i/>
          <w:iCs/>
          <w:color w:val="000000"/>
          <w:sz w:val="27"/>
          <w:szCs w:val="27"/>
          <w:lang w:eastAsia="ru-RU"/>
        </w:rPr>
        <w:t> </w:t>
      </w:r>
      <w:r w:rsidRPr="00724957">
        <w:rPr>
          <w:rFonts w:ascii="Times New Roman" w:eastAsia="Times New Roman" w:hAnsi="Times New Roman" w:cs="Times New Roman"/>
          <w:color w:val="000000"/>
          <w:sz w:val="27"/>
          <w:szCs w:val="27"/>
          <w:shd w:val="clear" w:color="auto" w:fill="FFFFFF"/>
          <w:lang w:eastAsia="ru-RU"/>
        </w:rPr>
        <w:t>это патенты, концепции, ноу-хау, авторские права, компьютерные и административные системы, системы сетевого взаимодействия, оргструктура, культура организации.</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b/>
          <w:bCs/>
          <w:i/>
          <w:iCs/>
          <w:color w:val="000000"/>
          <w:sz w:val="27"/>
          <w:szCs w:val="27"/>
          <w:u w:val="single"/>
          <w:lang w:eastAsia="ru-RU"/>
        </w:rPr>
        <w:t>Внешние структуры</w:t>
      </w:r>
      <w:r w:rsidRPr="00724957">
        <w:rPr>
          <w:rFonts w:ascii="Times New Roman" w:eastAsia="Times New Roman" w:hAnsi="Times New Roman" w:cs="Times New Roman"/>
          <w:color w:val="000000"/>
          <w:sz w:val="27"/>
          <w:szCs w:val="27"/>
          <w:shd w:val="clear" w:color="auto" w:fill="FFFFFF"/>
          <w:lang w:eastAsia="ru-RU"/>
        </w:rPr>
        <w:t> – это отношения с потребителями, поставщиками, конкурентами, местными сообществами, брэнды, торговые марки, имидж организации.</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Соотношение между этими составляющими интеллектуального капитала представлено на рис. 2, где показано, что границы между тремя основными видами интеллектуального капитала носят условный характер. Некоторые элементы интеллектуального капитала можно отнести с равным правом к различным его видам. В то же время есть элементы, однозначно относимые к тому или иному виду интеллектуального капитала.</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bookmarkStart w:id="3" w:name="_ref509547977"/>
      <w:bookmarkEnd w:id="3"/>
      <w:r w:rsidRPr="00724957">
        <w:rPr>
          <w:rFonts w:ascii="Times New Roman" w:eastAsia="Times New Roman" w:hAnsi="Times New Roman" w:cs="Times New Roman"/>
          <w:b/>
          <w:bCs/>
          <w:color w:val="000000"/>
          <w:sz w:val="27"/>
          <w:szCs w:val="27"/>
          <w:lang w:eastAsia="ru-RU"/>
        </w:rPr>
        <w:t>Рис. 2. Соотношение структурных составляющих интеллектуального капитала</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noProof/>
          <w:sz w:val="24"/>
          <w:szCs w:val="24"/>
          <w:lang w:eastAsia="ru-RU"/>
        </w:rPr>
        <w:lastRenderedPageBreak/>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6819900" cy="5153025"/>
            <wp:effectExtent l="0" t="0" r="0" b="9525"/>
            <wp:wrapSquare wrapText="bothSides"/>
            <wp:docPr id="1" name="Рисунок 1" descr="http://gendocs.ru/forgendocs1/docs/5/4203/conv_1/file1_html_406c69c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gendocs.ru/forgendocs1/docs/5/4203/conv_1/file1_html_406c69c6.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819900" cy="51530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u w:val="single"/>
          <w:lang w:eastAsia="ru-RU"/>
        </w:rPr>
        <w:t>Человеческий капитал довольно подробно описан в экономической литературе</w:t>
      </w:r>
      <w:r w:rsidRPr="00724957">
        <w:rPr>
          <w:rFonts w:ascii="Times New Roman" w:eastAsia="Times New Roman" w:hAnsi="Times New Roman" w:cs="Times New Roman"/>
          <w:color w:val="000000"/>
          <w:sz w:val="27"/>
          <w:szCs w:val="27"/>
          <w:shd w:val="clear" w:color="auto" w:fill="FFFFFF"/>
          <w:lang w:eastAsia="ru-RU"/>
        </w:rPr>
        <w:t>. Более того, за разработку проблем человеческого капитала были присуждены Нобелевские премии по экономике (Теодору Шульцу в 1979 г. и Гэри Беккеру в 1992 г.).</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u w:val="single"/>
          <w:lang w:eastAsia="ru-RU"/>
        </w:rPr>
        <w:t>Под человеческим капиталом</w:t>
      </w:r>
      <w:r w:rsidRPr="00724957">
        <w:rPr>
          <w:rFonts w:ascii="Times New Roman" w:eastAsia="Times New Roman" w:hAnsi="Times New Roman" w:cs="Times New Roman"/>
          <w:color w:val="000000"/>
          <w:sz w:val="27"/>
          <w:szCs w:val="27"/>
          <w:shd w:val="clear" w:color="auto" w:fill="FFFFFF"/>
          <w:lang w:eastAsia="ru-RU"/>
        </w:rPr>
        <w:t> обычно понимается совокупность знаний, навыков и мотиваций, которые имеет каждый человек. </w:t>
      </w:r>
      <w:r w:rsidRPr="00724957">
        <w:rPr>
          <w:rFonts w:ascii="Times New Roman" w:eastAsia="Times New Roman" w:hAnsi="Times New Roman" w:cs="Times New Roman"/>
          <w:color w:val="000000"/>
          <w:sz w:val="27"/>
          <w:szCs w:val="27"/>
          <w:u w:val="single"/>
          <w:lang w:eastAsia="ru-RU"/>
        </w:rPr>
        <w:t>ИНВЕСТИЦИЯМИ В</w:t>
      </w:r>
      <w:r w:rsidRPr="00724957">
        <w:rPr>
          <w:rFonts w:ascii="Times New Roman" w:eastAsia="Times New Roman" w:hAnsi="Times New Roman" w:cs="Times New Roman"/>
          <w:color w:val="000000"/>
          <w:sz w:val="27"/>
          <w:szCs w:val="27"/>
          <w:shd w:val="clear" w:color="auto" w:fill="FFFFFF"/>
          <w:lang w:eastAsia="ru-RU"/>
        </w:rPr>
        <w:t> </w:t>
      </w:r>
      <w:r w:rsidRPr="00724957">
        <w:rPr>
          <w:rFonts w:ascii="Times New Roman" w:eastAsia="Times New Roman" w:hAnsi="Times New Roman" w:cs="Times New Roman"/>
          <w:color w:val="000000"/>
          <w:sz w:val="27"/>
          <w:szCs w:val="27"/>
          <w:u w:val="single"/>
          <w:lang w:eastAsia="ru-RU"/>
        </w:rPr>
        <w:t>ЧЕЛОВЕЧЕСКИЙ КАПИТАЛ</w:t>
      </w:r>
      <w:r w:rsidRPr="00724957">
        <w:rPr>
          <w:rFonts w:ascii="Times New Roman" w:eastAsia="Times New Roman" w:hAnsi="Times New Roman" w:cs="Times New Roman"/>
          <w:color w:val="000000"/>
          <w:sz w:val="27"/>
          <w:szCs w:val="27"/>
          <w:shd w:val="clear" w:color="auto" w:fill="FFFFFF"/>
          <w:lang w:eastAsia="ru-RU"/>
        </w:rPr>
        <w:t> могут быть повышение образования, накопление профессионального опыта, личных связей, улучшение здоровья, мобильность, овладение </w:t>
      </w:r>
      <w:hyperlink r:id="rId7" w:history="1">
        <w:r w:rsidRPr="00724957">
          <w:rPr>
            <w:rFonts w:ascii="Times New Roman" w:eastAsia="Times New Roman" w:hAnsi="Times New Roman" w:cs="Times New Roman"/>
            <w:color w:val="0000FF"/>
            <w:sz w:val="27"/>
            <w:szCs w:val="27"/>
            <w:u w:val="single"/>
            <w:lang w:eastAsia="ru-RU"/>
          </w:rPr>
          <w:t>массивами</w:t>
        </w:r>
      </w:hyperlink>
      <w:r w:rsidRPr="00724957">
        <w:rPr>
          <w:rFonts w:ascii="Times New Roman" w:eastAsia="Times New Roman" w:hAnsi="Times New Roman" w:cs="Times New Roman"/>
          <w:color w:val="000000"/>
          <w:sz w:val="27"/>
          <w:szCs w:val="27"/>
          <w:shd w:val="clear" w:color="auto" w:fill="FFFFFF"/>
          <w:lang w:eastAsia="ru-RU"/>
        </w:rPr>
        <w:t> информации.</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u w:val="single"/>
          <w:lang w:eastAsia="ru-RU"/>
        </w:rPr>
        <w:t>От того, как организации используют свой человеческий капитал, зависит не только их успех, но и способность выжить в жестких условиях конкуренции. То же можно сказать и об интеллектуальном капитале в целом, включая все его составляющие.</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Об этом свидетельствует современная практика. </w:t>
      </w:r>
      <w:r w:rsidRPr="00724957">
        <w:rPr>
          <w:rFonts w:ascii="Times New Roman" w:eastAsia="Times New Roman" w:hAnsi="Times New Roman" w:cs="Times New Roman"/>
          <w:i/>
          <w:iCs/>
          <w:color w:val="000000"/>
          <w:sz w:val="27"/>
          <w:szCs w:val="27"/>
          <w:lang w:eastAsia="ru-RU"/>
        </w:rPr>
        <w:t xml:space="preserve">Массовое </w:t>
      </w:r>
      <w:r w:rsidRPr="00724957">
        <w:rPr>
          <w:rFonts w:ascii="Times New Roman" w:eastAsia="Times New Roman" w:hAnsi="Times New Roman" w:cs="Times New Roman"/>
          <w:i/>
          <w:iCs/>
          <w:color w:val="000000"/>
          <w:sz w:val="27"/>
          <w:szCs w:val="27"/>
          <w:lang w:eastAsia="ru-RU"/>
        </w:rPr>
        <w:lastRenderedPageBreak/>
        <w:t>переманивание </w:t>
      </w:r>
      <w:r w:rsidRPr="00724957">
        <w:rPr>
          <w:rFonts w:ascii="Times New Roman" w:eastAsia="Times New Roman" w:hAnsi="Times New Roman" w:cs="Times New Roman"/>
          <w:i/>
          <w:iCs/>
          <w:color w:val="000000"/>
          <w:sz w:val="27"/>
          <w:szCs w:val="27"/>
          <w:u w:val="single"/>
          <w:lang w:eastAsia="ru-RU"/>
        </w:rPr>
        <w:t>специалистов–носителей человеческого капитала</w:t>
      </w:r>
      <w:r w:rsidRPr="00724957">
        <w:rPr>
          <w:rFonts w:ascii="Times New Roman" w:eastAsia="Times New Roman" w:hAnsi="Times New Roman" w:cs="Times New Roman"/>
          <w:i/>
          <w:iCs/>
          <w:color w:val="000000"/>
          <w:sz w:val="27"/>
          <w:szCs w:val="27"/>
          <w:lang w:eastAsia="ru-RU"/>
        </w:rPr>
        <w:t> достигло таких размеров, что уже известны факты рассмотрения споров в суде. Американская торговая компания Wall Mart подала в суд на Amazon.com, обвинив ее в злоумышленном переманивании специалистов.</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i/>
          <w:iCs/>
          <w:color w:val="000000"/>
          <w:sz w:val="27"/>
          <w:szCs w:val="27"/>
          <w:lang w:eastAsia="ru-RU"/>
        </w:rPr>
        <w:t>В России </w:t>
      </w:r>
      <w:r w:rsidRPr="00724957">
        <w:rPr>
          <w:rFonts w:ascii="Times New Roman" w:eastAsia="Times New Roman" w:hAnsi="Times New Roman" w:cs="Times New Roman"/>
          <w:b/>
          <w:bCs/>
          <w:i/>
          <w:iCs/>
          <w:color w:val="000000"/>
          <w:sz w:val="27"/>
          <w:szCs w:val="27"/>
          <w:lang w:eastAsia="ru-RU"/>
        </w:rPr>
        <w:t>Гута-банк</w:t>
      </w:r>
      <w:r w:rsidRPr="00724957">
        <w:rPr>
          <w:rFonts w:ascii="Times New Roman" w:eastAsia="Times New Roman" w:hAnsi="Times New Roman" w:cs="Times New Roman"/>
          <w:i/>
          <w:iCs/>
          <w:color w:val="000000"/>
          <w:sz w:val="27"/>
          <w:szCs w:val="27"/>
          <w:lang w:eastAsia="ru-RU"/>
        </w:rPr>
        <w:t> был первым, создавшим у себя Интернет трейдинговую систему. В марте 2000 г. </w:t>
      </w:r>
      <w:r w:rsidRPr="00724957">
        <w:rPr>
          <w:rFonts w:ascii="Times New Roman" w:eastAsia="Times New Roman" w:hAnsi="Times New Roman" w:cs="Times New Roman"/>
          <w:b/>
          <w:bCs/>
          <w:i/>
          <w:iCs/>
          <w:color w:val="000000"/>
          <w:sz w:val="27"/>
          <w:szCs w:val="27"/>
          <w:lang w:eastAsia="ru-RU"/>
        </w:rPr>
        <w:t>Альфа-банк</w:t>
      </w:r>
      <w:r w:rsidRPr="00724957">
        <w:rPr>
          <w:rFonts w:ascii="Times New Roman" w:eastAsia="Times New Roman" w:hAnsi="Times New Roman" w:cs="Times New Roman"/>
          <w:i/>
          <w:iCs/>
          <w:color w:val="000000"/>
          <w:sz w:val="27"/>
          <w:szCs w:val="27"/>
          <w:lang w:eastAsia="ru-RU"/>
        </w:rPr>
        <w:t> предложил лучшие условия сотрудникам этого передового подразделения банка–конкурента. И специалисты (разработчики, менеджеры), а также те, кто непосредственно работал с клиентами, перешли в Альфа-банк. </w:t>
      </w:r>
      <w:r w:rsidRPr="00724957">
        <w:rPr>
          <w:rFonts w:ascii="Times New Roman" w:eastAsia="Times New Roman" w:hAnsi="Times New Roman" w:cs="Times New Roman"/>
          <w:i/>
          <w:iCs/>
          <w:color w:val="000000"/>
          <w:sz w:val="27"/>
          <w:szCs w:val="27"/>
          <w:u w:val="single"/>
          <w:lang w:eastAsia="ru-RU"/>
        </w:rPr>
        <w:t>В результате</w:t>
      </w:r>
      <w:r w:rsidRPr="00724957">
        <w:rPr>
          <w:rFonts w:ascii="Times New Roman" w:eastAsia="Times New Roman" w:hAnsi="Times New Roman" w:cs="Times New Roman"/>
          <w:i/>
          <w:iCs/>
          <w:color w:val="000000"/>
          <w:sz w:val="27"/>
          <w:szCs w:val="27"/>
          <w:lang w:eastAsia="ru-RU"/>
        </w:rPr>
        <w:t> развитие данного направления в Гута-банке </w:t>
      </w:r>
      <w:r w:rsidRPr="00724957">
        <w:rPr>
          <w:rFonts w:ascii="Times New Roman" w:eastAsia="Times New Roman" w:hAnsi="Times New Roman" w:cs="Times New Roman"/>
          <w:i/>
          <w:iCs/>
          <w:color w:val="000000"/>
          <w:sz w:val="27"/>
          <w:szCs w:val="27"/>
          <w:u w:val="single"/>
          <w:lang w:eastAsia="ru-RU"/>
        </w:rPr>
        <w:t>замедлилось</w:t>
      </w:r>
      <w:r w:rsidRPr="00724957">
        <w:rPr>
          <w:rFonts w:ascii="Times New Roman" w:eastAsia="Times New Roman" w:hAnsi="Times New Roman" w:cs="Times New Roman"/>
          <w:i/>
          <w:iCs/>
          <w:color w:val="000000"/>
          <w:sz w:val="27"/>
          <w:szCs w:val="27"/>
          <w:lang w:eastAsia="ru-RU"/>
        </w:rPr>
        <w:t>, а конкурент получил хорошую команду специалистов</w:t>
      </w:r>
      <w:r w:rsidRPr="00724957">
        <w:rPr>
          <w:rFonts w:ascii="Times New Roman" w:eastAsia="Times New Roman" w:hAnsi="Times New Roman" w:cs="Times New Roman"/>
          <w:i/>
          <w:iCs/>
          <w:color w:val="000000"/>
          <w:sz w:val="27"/>
          <w:szCs w:val="27"/>
          <w:vertAlign w:val="superscript"/>
          <w:lang w:eastAsia="ru-RU"/>
        </w:rPr>
        <w:t>4</w:t>
      </w:r>
      <w:r w:rsidRPr="00724957">
        <w:rPr>
          <w:rFonts w:ascii="Times New Roman" w:eastAsia="Times New Roman" w:hAnsi="Times New Roman" w:cs="Times New Roman"/>
          <w:i/>
          <w:iCs/>
          <w:color w:val="000000"/>
          <w:sz w:val="27"/>
          <w:szCs w:val="27"/>
          <w:lang w:eastAsia="ru-RU"/>
        </w:rPr>
        <w:t>.</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Аналогичных случаев много. Все они свидетельствуют о том, что </w:t>
      </w:r>
      <w:r w:rsidRPr="00724957">
        <w:rPr>
          <w:rFonts w:ascii="Times New Roman" w:eastAsia="Times New Roman" w:hAnsi="Times New Roman" w:cs="Times New Roman"/>
          <w:color w:val="000000"/>
          <w:sz w:val="27"/>
          <w:szCs w:val="27"/>
          <w:u w:val="single"/>
          <w:lang w:eastAsia="ru-RU"/>
        </w:rPr>
        <w:t>методы конкуренции</w:t>
      </w:r>
      <w:r w:rsidRPr="00724957">
        <w:rPr>
          <w:rFonts w:ascii="Times New Roman" w:eastAsia="Times New Roman" w:hAnsi="Times New Roman" w:cs="Times New Roman"/>
          <w:color w:val="000000"/>
          <w:sz w:val="27"/>
          <w:szCs w:val="27"/>
          <w:shd w:val="clear" w:color="auto" w:fill="FFFFFF"/>
          <w:lang w:eastAsia="ru-RU"/>
        </w:rPr>
        <w:t> сегодня активно </w:t>
      </w:r>
      <w:r w:rsidRPr="00724957">
        <w:rPr>
          <w:rFonts w:ascii="Times New Roman" w:eastAsia="Times New Roman" w:hAnsi="Times New Roman" w:cs="Times New Roman"/>
          <w:color w:val="000000"/>
          <w:sz w:val="27"/>
          <w:szCs w:val="27"/>
          <w:u w:val="single"/>
          <w:lang w:eastAsia="ru-RU"/>
        </w:rPr>
        <w:t>затрагивают интеллектуальный капитал.</w:t>
      </w:r>
      <w:r w:rsidRPr="00724957">
        <w:rPr>
          <w:rFonts w:ascii="Times New Roman" w:eastAsia="Times New Roman" w:hAnsi="Times New Roman" w:cs="Times New Roman"/>
          <w:color w:val="000000"/>
          <w:sz w:val="27"/>
          <w:szCs w:val="27"/>
          <w:shd w:val="clear" w:color="auto" w:fill="FFFFFF"/>
          <w:lang w:eastAsia="ru-RU"/>
        </w:rPr>
        <w:t> В частности, в конкуренции используется то, что человеческим </w:t>
      </w:r>
      <w:r w:rsidRPr="00724957">
        <w:rPr>
          <w:rFonts w:ascii="Times New Roman" w:eastAsia="Times New Roman" w:hAnsi="Times New Roman" w:cs="Times New Roman"/>
          <w:b/>
          <w:bCs/>
          <w:color w:val="000000"/>
          <w:sz w:val="27"/>
          <w:szCs w:val="27"/>
          <w:u w:val="single"/>
          <w:lang w:eastAsia="ru-RU"/>
        </w:rPr>
        <w:t>капиталом фирма не может владеть полностью</w:t>
      </w:r>
      <w:r w:rsidRPr="00724957">
        <w:rPr>
          <w:rFonts w:ascii="Times New Roman" w:eastAsia="Times New Roman" w:hAnsi="Times New Roman" w:cs="Times New Roman"/>
          <w:color w:val="000000"/>
          <w:sz w:val="27"/>
          <w:szCs w:val="27"/>
          <w:shd w:val="clear" w:color="auto" w:fill="FFFFFF"/>
          <w:lang w:eastAsia="ru-RU"/>
        </w:rPr>
        <w:t>. В значительной степени таким капиталом владеют люди – </w:t>
      </w:r>
      <w:r w:rsidRPr="00724957">
        <w:rPr>
          <w:rFonts w:ascii="Times New Roman" w:eastAsia="Times New Roman" w:hAnsi="Times New Roman" w:cs="Times New Roman"/>
          <w:b/>
          <w:bCs/>
          <w:color w:val="000000"/>
          <w:sz w:val="27"/>
          <w:szCs w:val="27"/>
          <w:u w:val="single"/>
          <w:lang w:eastAsia="ru-RU"/>
        </w:rPr>
        <w:t>его носители</w:t>
      </w:r>
      <w:r w:rsidRPr="00724957">
        <w:rPr>
          <w:rFonts w:ascii="Times New Roman" w:eastAsia="Times New Roman" w:hAnsi="Times New Roman" w:cs="Times New Roman"/>
          <w:color w:val="000000"/>
          <w:sz w:val="27"/>
          <w:szCs w:val="27"/>
          <w:shd w:val="clear" w:color="auto" w:fill="FFFFFF"/>
          <w:lang w:eastAsia="ru-RU"/>
        </w:rPr>
        <w:t>.</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В последние годы наряду с человеческим капиталом достаточно подробно исследуется и другая часть интеллектуального капитала – организационный капитал, которым владеет и который контролирует компания или организация.</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2. Различия физического и интеллектуального капитала</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Интеллектуальный капитал во многом схож с физическим капиталом. Оба капитала возникают как результат вложений ресурсов (денег, материальных средств, знаний, квалификации) для производства товаров и услуг.</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Оба капитала приносят своему обладателю доход. Оба капитала подвергаются моральному износу, причем интеллектуальный капитал даже в большей степени (обесценивается и программное обеспечение, и любые знания).</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Оба нуждаются в "ремонте", т. е. требуют затрат на свое поддержание. В то же время между ними наблюдаются и </w:t>
      </w:r>
      <w:r w:rsidRPr="00724957">
        <w:rPr>
          <w:rFonts w:ascii="Times New Roman" w:eastAsia="Times New Roman" w:hAnsi="Times New Roman" w:cs="Times New Roman"/>
          <w:b/>
          <w:bCs/>
          <w:i/>
          <w:iCs/>
          <w:color w:val="000000"/>
          <w:sz w:val="27"/>
          <w:szCs w:val="27"/>
          <w:lang w:eastAsia="ru-RU"/>
        </w:rPr>
        <w:t>различия</w:t>
      </w:r>
      <w:r w:rsidRPr="00724957">
        <w:rPr>
          <w:rFonts w:ascii="Times New Roman" w:eastAsia="Times New Roman" w:hAnsi="Times New Roman" w:cs="Times New Roman"/>
          <w:color w:val="000000"/>
          <w:sz w:val="27"/>
          <w:szCs w:val="27"/>
          <w:shd w:val="clear" w:color="auto" w:fill="FFFFFF"/>
          <w:lang w:eastAsia="ru-RU"/>
        </w:rPr>
        <w:t>.</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Физический капитал имеет материальную природу, его можно потрогать, пощупать, увидеть. Интеллектуальный капитал имеет нематериальную природу, поэтому его иногда называют </w:t>
      </w:r>
      <w:r w:rsidRPr="00724957">
        <w:rPr>
          <w:rFonts w:ascii="Times New Roman" w:eastAsia="Times New Roman" w:hAnsi="Times New Roman" w:cs="Times New Roman"/>
          <w:b/>
          <w:bCs/>
          <w:color w:val="000000"/>
          <w:sz w:val="27"/>
          <w:szCs w:val="27"/>
          <w:u w:val="single"/>
          <w:lang w:eastAsia="ru-RU"/>
        </w:rPr>
        <w:t>невидимым активом.</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Физический капитал – это результат определенных действий в прошлом. Интеллектуальный капитал также представляет собой результат прошлых инвестиций, но в то же время он в большей мере ориентирован в будущее.</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 xml:space="preserve">Основой для оценки физического капитала являются затраты, которые уже сделаны. Основа для оценки интеллектуального капитала – стоимость, которая </w:t>
      </w:r>
      <w:r w:rsidRPr="00724957">
        <w:rPr>
          <w:rFonts w:ascii="Times New Roman" w:eastAsia="Times New Roman" w:hAnsi="Times New Roman" w:cs="Times New Roman"/>
          <w:color w:val="000000"/>
          <w:sz w:val="27"/>
          <w:szCs w:val="27"/>
          <w:shd w:val="clear" w:color="auto" w:fill="FFFFFF"/>
          <w:lang w:eastAsia="ru-RU"/>
        </w:rPr>
        <w:lastRenderedPageBreak/>
        <w:t>формируется на базе оценок его будущего использования.</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Физический капитал оценивается с помощью преимущественно стоимостных показателей, в то время как интеллектуальный капитал – с помощью как стоимостных, так и нестоимостных показателей.</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Для физического капитала эта оценка имеет периодический характер, а для интеллектуального – непрерывный.</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Нематериальные активы приносят результаты не только материальные (прежде всего финансовые), но и нематериальные в виде конкурентоспособности, высокой компетенции работников, маркетинговых возможностей, имиджа организации, квалификации сотрудников и пр.</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Компании и организации, как уже отмечалось, не владеют интеллектуальным капиталом полностью. Они владеют им совместно с наемными работниками (если речь идет о человеческом капитале), и совместно с потребителями и другими контрагентами (если речь идет о потребительском капитале).</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Интеллектуальный капитал не аддитивен. Его в принципе нельзя разложить на составляющие так, чтобы сумма их оценок была равна общей оценке всего интеллектуального капитала организации.</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Взаимодействие разных составляющих носит сугубо нелинейный характер. Так, например, не всегда чисто человеческая компонента достаточна для формирования мощного интеллектуального капитала. Для этого необходимо высокую компетентность работников дополнить соответствующими элементами структурного капитала в виде соответствующей оргструктуры, </w:t>
      </w:r>
      <w:hyperlink r:id="rId8" w:history="1">
        <w:r w:rsidRPr="00724957">
          <w:rPr>
            <w:rFonts w:ascii="Times New Roman" w:eastAsia="Times New Roman" w:hAnsi="Times New Roman" w:cs="Times New Roman"/>
            <w:color w:val="0000FF"/>
            <w:sz w:val="27"/>
            <w:szCs w:val="27"/>
            <w:u w:val="single"/>
            <w:lang w:eastAsia="ru-RU"/>
          </w:rPr>
          <w:t>информационных технологий</w:t>
        </w:r>
      </w:hyperlink>
      <w:r w:rsidRPr="00724957">
        <w:rPr>
          <w:rFonts w:ascii="Times New Roman" w:eastAsia="Times New Roman" w:hAnsi="Times New Roman" w:cs="Times New Roman"/>
          <w:color w:val="000000"/>
          <w:sz w:val="27"/>
          <w:szCs w:val="27"/>
          <w:shd w:val="clear" w:color="auto" w:fill="FFFFFF"/>
          <w:lang w:eastAsia="ru-RU"/>
        </w:rPr>
        <w:t>, управленческих процедур и т.д.</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Человеческий, организационный и потребительский капитал </w:t>
      </w:r>
      <w:r w:rsidRPr="00724957">
        <w:rPr>
          <w:rFonts w:ascii="Times New Roman" w:eastAsia="Times New Roman" w:hAnsi="Times New Roman" w:cs="Times New Roman"/>
          <w:color w:val="000000"/>
          <w:sz w:val="27"/>
          <w:szCs w:val="27"/>
          <w:u w:val="single"/>
          <w:lang w:eastAsia="ru-RU"/>
        </w:rPr>
        <w:t>взаимодействуют</w:t>
      </w:r>
      <w:r w:rsidRPr="00724957">
        <w:rPr>
          <w:rFonts w:ascii="Times New Roman" w:eastAsia="Times New Roman" w:hAnsi="Times New Roman" w:cs="Times New Roman"/>
          <w:color w:val="000000"/>
          <w:sz w:val="27"/>
          <w:szCs w:val="27"/>
          <w:shd w:val="clear" w:color="auto" w:fill="FFFFFF"/>
          <w:lang w:eastAsia="ru-RU"/>
        </w:rPr>
        <w:t> друг с другом. Н</w:t>
      </w:r>
      <w:r w:rsidRPr="00724957">
        <w:rPr>
          <w:rFonts w:ascii="Times New Roman" w:eastAsia="Times New Roman" w:hAnsi="Times New Roman" w:cs="Times New Roman"/>
          <w:b/>
          <w:bCs/>
          <w:color w:val="000000"/>
          <w:sz w:val="27"/>
          <w:szCs w:val="27"/>
          <w:u w:val="single"/>
          <w:lang w:eastAsia="ru-RU"/>
        </w:rPr>
        <w:t>едостаточно инвестировать в каждый из них по отдельности.</w:t>
      </w:r>
      <w:r w:rsidRPr="00724957">
        <w:rPr>
          <w:rFonts w:ascii="Times New Roman" w:eastAsia="Times New Roman" w:hAnsi="Times New Roman" w:cs="Times New Roman"/>
          <w:color w:val="000000"/>
          <w:sz w:val="27"/>
          <w:szCs w:val="27"/>
          <w:shd w:val="clear" w:color="auto" w:fill="FFFFFF"/>
          <w:lang w:eastAsia="ru-RU"/>
        </w:rPr>
        <w:t> Они должны поддерживать друг друга, создавая </w:t>
      </w:r>
      <w:r w:rsidRPr="00724957">
        <w:rPr>
          <w:rFonts w:ascii="Times New Roman" w:eastAsia="Times New Roman" w:hAnsi="Times New Roman" w:cs="Times New Roman"/>
          <w:b/>
          <w:bCs/>
          <w:color w:val="000000"/>
          <w:sz w:val="27"/>
          <w:szCs w:val="27"/>
          <w:u w:val="single"/>
          <w:lang w:eastAsia="ru-RU"/>
        </w:rPr>
        <w:t>синергетический эффект</w:t>
      </w:r>
      <w:r w:rsidRPr="00724957">
        <w:rPr>
          <w:rFonts w:ascii="Times New Roman" w:eastAsia="Times New Roman" w:hAnsi="Times New Roman" w:cs="Times New Roman"/>
          <w:color w:val="000000"/>
          <w:sz w:val="27"/>
          <w:szCs w:val="27"/>
          <w:shd w:val="clear" w:color="auto" w:fill="FFFFFF"/>
          <w:lang w:eastAsia="ru-RU"/>
        </w:rPr>
        <w:t>, и тогда происходит перекрестное влияние одних видов активов на другие. </w:t>
      </w:r>
      <w:r w:rsidRPr="00724957">
        <w:rPr>
          <w:rFonts w:ascii="Times New Roman" w:eastAsia="Times New Roman" w:hAnsi="Times New Roman" w:cs="Times New Roman"/>
          <w:i/>
          <w:iCs/>
          <w:color w:val="000000"/>
          <w:sz w:val="27"/>
          <w:szCs w:val="27"/>
          <w:lang w:eastAsia="ru-RU"/>
        </w:rPr>
        <w:t>Так, например, внешняя структура может укреплять престиж, способствовать приобретению новых потребителей. Внутренняя структура с помощью трансфера знаний снижает зависимость организации от человеческого фактора. Компетенция работников способствует разработке новых идей и новых проектов. Потребительский (клиентский капитал) трансформируется в финансовый капитал посредством взаимодействия со структурным и человеческим капиталом.</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Отличия физического и интеллектуального капитала представлены в табл. 2.</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b/>
          <w:bCs/>
          <w:color w:val="000000"/>
          <w:sz w:val="27"/>
          <w:szCs w:val="27"/>
          <w:lang w:eastAsia="ru-RU"/>
        </w:rPr>
        <w:t>Таблица 1. Различия физического и интеллектуального капитала</w:t>
      </w:r>
    </w:p>
    <w:tbl>
      <w:tblPr>
        <w:tblW w:w="8175" w:type="dxa"/>
        <w:tblCellSpacing w:w="0" w:type="dxa"/>
        <w:tblCellMar>
          <w:top w:w="105" w:type="dxa"/>
          <w:left w:w="105" w:type="dxa"/>
          <w:bottom w:w="105" w:type="dxa"/>
          <w:right w:w="105" w:type="dxa"/>
        </w:tblCellMar>
        <w:tblLook w:val="04A0" w:firstRow="1" w:lastRow="0" w:firstColumn="1" w:lastColumn="0" w:noHBand="0" w:noVBand="1"/>
      </w:tblPr>
      <w:tblGrid>
        <w:gridCol w:w="3554"/>
        <w:gridCol w:w="4621"/>
      </w:tblGrid>
      <w:tr w:rsidR="00724957" w:rsidRPr="00724957" w:rsidTr="00724957">
        <w:trPr>
          <w:tblCellSpacing w:w="0" w:type="dxa"/>
        </w:trPr>
        <w:tc>
          <w:tcPr>
            <w:tcW w:w="3345" w:type="dxa"/>
            <w:hideMark/>
          </w:tcPr>
          <w:p w:rsidR="00724957" w:rsidRPr="00724957" w:rsidRDefault="00724957" w:rsidP="00724957">
            <w:pPr>
              <w:spacing w:after="0" w:line="240" w:lineRule="auto"/>
              <w:rPr>
                <w:rFonts w:ascii="Times New Roman" w:eastAsia="Times New Roman" w:hAnsi="Times New Roman" w:cs="Times New Roman"/>
                <w:sz w:val="24"/>
                <w:szCs w:val="24"/>
                <w:lang w:eastAsia="ru-RU"/>
              </w:rPr>
            </w:pPr>
            <w:r w:rsidRPr="00724957">
              <w:rPr>
                <w:rFonts w:ascii="Times New Roman" w:eastAsia="Times New Roman" w:hAnsi="Times New Roman" w:cs="Times New Roman"/>
                <w:sz w:val="24"/>
                <w:szCs w:val="24"/>
                <w:lang w:eastAsia="ru-RU"/>
              </w:rPr>
              <w:br/>
            </w:r>
            <w:r w:rsidRPr="00724957">
              <w:rPr>
                <w:rFonts w:ascii="Times New Roman" w:eastAsia="Times New Roman" w:hAnsi="Times New Roman" w:cs="Times New Roman"/>
                <w:b/>
                <w:bCs/>
                <w:sz w:val="24"/>
                <w:szCs w:val="24"/>
                <w:lang w:eastAsia="ru-RU"/>
              </w:rPr>
              <w:t>Физический</w:t>
            </w:r>
          </w:p>
        </w:tc>
        <w:tc>
          <w:tcPr>
            <w:tcW w:w="4350" w:type="dxa"/>
            <w:hideMark/>
          </w:tcPr>
          <w:p w:rsidR="00724957" w:rsidRPr="00724957" w:rsidRDefault="00724957" w:rsidP="00724957">
            <w:pPr>
              <w:spacing w:after="0" w:line="240" w:lineRule="auto"/>
              <w:rPr>
                <w:rFonts w:ascii="Times New Roman" w:eastAsia="Times New Roman" w:hAnsi="Times New Roman" w:cs="Times New Roman"/>
                <w:sz w:val="24"/>
                <w:szCs w:val="24"/>
                <w:lang w:eastAsia="ru-RU"/>
              </w:rPr>
            </w:pPr>
            <w:r w:rsidRPr="00724957">
              <w:rPr>
                <w:rFonts w:ascii="Times New Roman" w:eastAsia="Times New Roman" w:hAnsi="Times New Roman" w:cs="Times New Roman"/>
                <w:sz w:val="24"/>
                <w:szCs w:val="24"/>
                <w:lang w:eastAsia="ru-RU"/>
              </w:rPr>
              <w:br/>
            </w:r>
            <w:r w:rsidRPr="00724957">
              <w:rPr>
                <w:rFonts w:ascii="Times New Roman" w:eastAsia="Times New Roman" w:hAnsi="Times New Roman" w:cs="Times New Roman"/>
                <w:b/>
                <w:bCs/>
                <w:sz w:val="24"/>
                <w:szCs w:val="24"/>
                <w:lang w:eastAsia="ru-RU"/>
              </w:rPr>
              <w:t>Интеллектуальный</w:t>
            </w:r>
          </w:p>
        </w:tc>
      </w:tr>
      <w:tr w:rsidR="00724957" w:rsidRPr="00724957" w:rsidTr="00724957">
        <w:trPr>
          <w:tblCellSpacing w:w="0" w:type="dxa"/>
        </w:trPr>
        <w:tc>
          <w:tcPr>
            <w:tcW w:w="3345" w:type="dxa"/>
            <w:hideMark/>
          </w:tcPr>
          <w:p w:rsidR="00724957" w:rsidRPr="00724957" w:rsidRDefault="00724957" w:rsidP="00724957">
            <w:pPr>
              <w:spacing w:after="0" w:line="240" w:lineRule="auto"/>
              <w:rPr>
                <w:rFonts w:ascii="Times New Roman" w:eastAsia="Times New Roman" w:hAnsi="Times New Roman" w:cs="Times New Roman"/>
                <w:sz w:val="24"/>
                <w:szCs w:val="24"/>
                <w:lang w:eastAsia="ru-RU"/>
              </w:rPr>
            </w:pPr>
            <w:r w:rsidRPr="00724957">
              <w:rPr>
                <w:rFonts w:ascii="Times New Roman" w:eastAsia="Times New Roman" w:hAnsi="Times New Roman" w:cs="Times New Roman"/>
                <w:sz w:val="24"/>
                <w:szCs w:val="24"/>
                <w:lang w:eastAsia="ru-RU"/>
              </w:rPr>
              <w:lastRenderedPageBreak/>
              <w:br/>
              <w:t>Материальная природа</w:t>
            </w:r>
          </w:p>
        </w:tc>
        <w:tc>
          <w:tcPr>
            <w:tcW w:w="4350" w:type="dxa"/>
            <w:hideMark/>
          </w:tcPr>
          <w:p w:rsidR="00724957" w:rsidRPr="00724957" w:rsidRDefault="00724957" w:rsidP="00724957">
            <w:pPr>
              <w:spacing w:after="0" w:line="240" w:lineRule="auto"/>
              <w:rPr>
                <w:rFonts w:ascii="Times New Roman" w:eastAsia="Times New Roman" w:hAnsi="Times New Roman" w:cs="Times New Roman"/>
                <w:sz w:val="24"/>
                <w:szCs w:val="24"/>
                <w:lang w:eastAsia="ru-RU"/>
              </w:rPr>
            </w:pPr>
            <w:r w:rsidRPr="00724957">
              <w:rPr>
                <w:rFonts w:ascii="Times New Roman" w:eastAsia="Times New Roman" w:hAnsi="Times New Roman" w:cs="Times New Roman"/>
                <w:sz w:val="24"/>
                <w:szCs w:val="24"/>
                <w:lang w:eastAsia="ru-RU"/>
              </w:rPr>
              <w:br/>
              <w:t>Нематериальная природа</w:t>
            </w:r>
          </w:p>
        </w:tc>
      </w:tr>
      <w:tr w:rsidR="00724957" w:rsidRPr="00724957" w:rsidTr="00724957">
        <w:trPr>
          <w:tblCellSpacing w:w="0" w:type="dxa"/>
        </w:trPr>
        <w:tc>
          <w:tcPr>
            <w:tcW w:w="3345" w:type="dxa"/>
            <w:hideMark/>
          </w:tcPr>
          <w:p w:rsidR="00724957" w:rsidRPr="00724957" w:rsidRDefault="00724957" w:rsidP="00724957">
            <w:pPr>
              <w:spacing w:after="0" w:line="240" w:lineRule="auto"/>
              <w:rPr>
                <w:rFonts w:ascii="Times New Roman" w:eastAsia="Times New Roman" w:hAnsi="Times New Roman" w:cs="Times New Roman"/>
                <w:sz w:val="24"/>
                <w:szCs w:val="24"/>
                <w:lang w:eastAsia="ru-RU"/>
              </w:rPr>
            </w:pPr>
            <w:r w:rsidRPr="00724957">
              <w:rPr>
                <w:rFonts w:ascii="Times New Roman" w:eastAsia="Times New Roman" w:hAnsi="Times New Roman" w:cs="Times New Roman"/>
                <w:sz w:val="24"/>
                <w:szCs w:val="24"/>
                <w:lang w:eastAsia="ru-RU"/>
              </w:rPr>
              <w:br/>
              <w:t>Результат действий в прошлом</w:t>
            </w:r>
          </w:p>
        </w:tc>
        <w:tc>
          <w:tcPr>
            <w:tcW w:w="4350" w:type="dxa"/>
            <w:hideMark/>
          </w:tcPr>
          <w:p w:rsidR="00724957" w:rsidRPr="00724957" w:rsidRDefault="00724957" w:rsidP="00724957">
            <w:pPr>
              <w:spacing w:after="0" w:line="240" w:lineRule="auto"/>
              <w:rPr>
                <w:rFonts w:ascii="Times New Roman" w:eastAsia="Times New Roman" w:hAnsi="Times New Roman" w:cs="Times New Roman"/>
                <w:sz w:val="24"/>
                <w:szCs w:val="24"/>
                <w:lang w:eastAsia="ru-RU"/>
              </w:rPr>
            </w:pPr>
            <w:r w:rsidRPr="00724957">
              <w:rPr>
                <w:rFonts w:ascii="Times New Roman" w:eastAsia="Times New Roman" w:hAnsi="Times New Roman" w:cs="Times New Roman"/>
                <w:sz w:val="24"/>
                <w:szCs w:val="24"/>
                <w:lang w:eastAsia="ru-RU"/>
              </w:rPr>
              <w:br/>
              <w:t>Оценка действий в будущем</w:t>
            </w:r>
          </w:p>
        </w:tc>
      </w:tr>
      <w:tr w:rsidR="00724957" w:rsidRPr="00724957" w:rsidTr="00724957">
        <w:trPr>
          <w:tblCellSpacing w:w="0" w:type="dxa"/>
        </w:trPr>
        <w:tc>
          <w:tcPr>
            <w:tcW w:w="3345" w:type="dxa"/>
            <w:hideMark/>
          </w:tcPr>
          <w:p w:rsidR="00724957" w:rsidRPr="00724957" w:rsidRDefault="00724957" w:rsidP="00724957">
            <w:pPr>
              <w:spacing w:after="0" w:line="240" w:lineRule="auto"/>
              <w:rPr>
                <w:rFonts w:ascii="Times New Roman" w:eastAsia="Times New Roman" w:hAnsi="Times New Roman" w:cs="Times New Roman"/>
                <w:sz w:val="24"/>
                <w:szCs w:val="24"/>
                <w:lang w:eastAsia="ru-RU"/>
              </w:rPr>
            </w:pPr>
            <w:r w:rsidRPr="00724957">
              <w:rPr>
                <w:rFonts w:ascii="Times New Roman" w:eastAsia="Times New Roman" w:hAnsi="Times New Roman" w:cs="Times New Roman"/>
                <w:sz w:val="24"/>
                <w:szCs w:val="24"/>
                <w:lang w:eastAsia="ru-RU"/>
              </w:rPr>
              <w:br/>
              <w:t>Оценка по затратам</w:t>
            </w:r>
          </w:p>
        </w:tc>
        <w:tc>
          <w:tcPr>
            <w:tcW w:w="4350" w:type="dxa"/>
            <w:hideMark/>
          </w:tcPr>
          <w:p w:rsidR="00724957" w:rsidRPr="00724957" w:rsidRDefault="00724957" w:rsidP="00724957">
            <w:pPr>
              <w:spacing w:after="0" w:line="240" w:lineRule="auto"/>
              <w:rPr>
                <w:rFonts w:ascii="Times New Roman" w:eastAsia="Times New Roman" w:hAnsi="Times New Roman" w:cs="Times New Roman"/>
                <w:sz w:val="24"/>
                <w:szCs w:val="24"/>
                <w:lang w:eastAsia="ru-RU"/>
              </w:rPr>
            </w:pPr>
            <w:r w:rsidRPr="00724957">
              <w:rPr>
                <w:rFonts w:ascii="Times New Roman" w:eastAsia="Times New Roman" w:hAnsi="Times New Roman" w:cs="Times New Roman"/>
                <w:sz w:val="24"/>
                <w:szCs w:val="24"/>
                <w:lang w:eastAsia="ru-RU"/>
              </w:rPr>
              <w:br/>
              <w:t>Оценка по стоимости</w:t>
            </w:r>
          </w:p>
        </w:tc>
      </w:tr>
      <w:tr w:rsidR="00724957" w:rsidRPr="00724957" w:rsidTr="00724957">
        <w:trPr>
          <w:tblCellSpacing w:w="0" w:type="dxa"/>
        </w:trPr>
        <w:tc>
          <w:tcPr>
            <w:tcW w:w="3345" w:type="dxa"/>
            <w:hideMark/>
          </w:tcPr>
          <w:p w:rsidR="00724957" w:rsidRPr="00724957" w:rsidRDefault="00724957" w:rsidP="00724957">
            <w:pPr>
              <w:spacing w:after="0" w:line="240" w:lineRule="auto"/>
              <w:rPr>
                <w:rFonts w:ascii="Times New Roman" w:eastAsia="Times New Roman" w:hAnsi="Times New Roman" w:cs="Times New Roman"/>
                <w:sz w:val="24"/>
                <w:szCs w:val="24"/>
                <w:lang w:eastAsia="ru-RU"/>
              </w:rPr>
            </w:pPr>
            <w:r w:rsidRPr="00724957">
              <w:rPr>
                <w:rFonts w:ascii="Times New Roman" w:eastAsia="Times New Roman" w:hAnsi="Times New Roman" w:cs="Times New Roman"/>
                <w:sz w:val="24"/>
                <w:szCs w:val="24"/>
                <w:lang w:eastAsia="ru-RU"/>
              </w:rPr>
              <w:br/>
              <w:t>Аддитивный</w:t>
            </w:r>
          </w:p>
        </w:tc>
        <w:tc>
          <w:tcPr>
            <w:tcW w:w="4350" w:type="dxa"/>
            <w:hideMark/>
          </w:tcPr>
          <w:p w:rsidR="00724957" w:rsidRPr="00724957" w:rsidRDefault="00724957" w:rsidP="00724957">
            <w:pPr>
              <w:spacing w:after="0" w:line="240" w:lineRule="auto"/>
              <w:rPr>
                <w:rFonts w:ascii="Times New Roman" w:eastAsia="Times New Roman" w:hAnsi="Times New Roman" w:cs="Times New Roman"/>
                <w:sz w:val="24"/>
                <w:szCs w:val="24"/>
                <w:lang w:eastAsia="ru-RU"/>
              </w:rPr>
            </w:pPr>
            <w:r w:rsidRPr="00724957">
              <w:rPr>
                <w:rFonts w:ascii="Times New Roman" w:eastAsia="Times New Roman" w:hAnsi="Times New Roman" w:cs="Times New Roman"/>
                <w:sz w:val="24"/>
                <w:szCs w:val="24"/>
                <w:lang w:eastAsia="ru-RU"/>
              </w:rPr>
              <w:br/>
              <w:t>Неаддитивный</w:t>
            </w:r>
          </w:p>
        </w:tc>
      </w:tr>
      <w:tr w:rsidR="00724957" w:rsidRPr="00724957" w:rsidTr="00724957">
        <w:trPr>
          <w:tblCellSpacing w:w="0" w:type="dxa"/>
        </w:trPr>
        <w:tc>
          <w:tcPr>
            <w:tcW w:w="3345" w:type="dxa"/>
            <w:hideMark/>
          </w:tcPr>
          <w:p w:rsidR="00724957" w:rsidRPr="00724957" w:rsidRDefault="00724957" w:rsidP="00724957">
            <w:pPr>
              <w:spacing w:after="0" w:line="240" w:lineRule="auto"/>
              <w:rPr>
                <w:rFonts w:ascii="Times New Roman" w:eastAsia="Times New Roman" w:hAnsi="Times New Roman" w:cs="Times New Roman"/>
                <w:sz w:val="24"/>
                <w:szCs w:val="24"/>
                <w:lang w:eastAsia="ru-RU"/>
              </w:rPr>
            </w:pPr>
            <w:r w:rsidRPr="00724957">
              <w:rPr>
                <w:rFonts w:ascii="Times New Roman" w:eastAsia="Times New Roman" w:hAnsi="Times New Roman" w:cs="Times New Roman"/>
                <w:sz w:val="24"/>
                <w:szCs w:val="24"/>
                <w:lang w:eastAsia="ru-RU"/>
              </w:rPr>
              <w:br/>
              <w:t>Преимущественно финансовая оценка</w:t>
            </w:r>
          </w:p>
        </w:tc>
        <w:tc>
          <w:tcPr>
            <w:tcW w:w="4350" w:type="dxa"/>
            <w:hideMark/>
          </w:tcPr>
          <w:p w:rsidR="00724957" w:rsidRPr="00724957" w:rsidRDefault="00724957" w:rsidP="00724957">
            <w:pPr>
              <w:spacing w:after="0" w:line="240" w:lineRule="auto"/>
              <w:rPr>
                <w:rFonts w:ascii="Times New Roman" w:eastAsia="Times New Roman" w:hAnsi="Times New Roman" w:cs="Times New Roman"/>
                <w:sz w:val="24"/>
                <w:szCs w:val="24"/>
                <w:lang w:eastAsia="ru-RU"/>
              </w:rPr>
            </w:pPr>
            <w:r w:rsidRPr="00724957">
              <w:rPr>
                <w:rFonts w:ascii="Times New Roman" w:eastAsia="Times New Roman" w:hAnsi="Times New Roman" w:cs="Times New Roman"/>
                <w:sz w:val="24"/>
                <w:szCs w:val="24"/>
                <w:lang w:eastAsia="ru-RU"/>
              </w:rPr>
              <w:br/>
              <w:t>Комбинация стоимостных и нестоимостных оценок</w:t>
            </w:r>
          </w:p>
        </w:tc>
      </w:tr>
      <w:tr w:rsidR="00724957" w:rsidRPr="00724957" w:rsidTr="00724957">
        <w:trPr>
          <w:tblCellSpacing w:w="0" w:type="dxa"/>
        </w:trPr>
        <w:tc>
          <w:tcPr>
            <w:tcW w:w="3345" w:type="dxa"/>
            <w:hideMark/>
          </w:tcPr>
          <w:p w:rsidR="00724957" w:rsidRPr="00724957" w:rsidRDefault="00724957" w:rsidP="00724957">
            <w:pPr>
              <w:spacing w:after="0" w:line="240" w:lineRule="auto"/>
              <w:rPr>
                <w:rFonts w:ascii="Times New Roman" w:eastAsia="Times New Roman" w:hAnsi="Times New Roman" w:cs="Times New Roman"/>
                <w:sz w:val="24"/>
                <w:szCs w:val="24"/>
                <w:lang w:eastAsia="ru-RU"/>
              </w:rPr>
            </w:pPr>
            <w:r w:rsidRPr="00724957">
              <w:rPr>
                <w:rFonts w:ascii="Times New Roman" w:eastAsia="Times New Roman" w:hAnsi="Times New Roman" w:cs="Times New Roman"/>
                <w:sz w:val="24"/>
                <w:szCs w:val="24"/>
                <w:lang w:eastAsia="ru-RU"/>
              </w:rPr>
              <w:br/>
              <w:t>Периодическая оценка</w:t>
            </w:r>
          </w:p>
        </w:tc>
        <w:tc>
          <w:tcPr>
            <w:tcW w:w="4350" w:type="dxa"/>
            <w:hideMark/>
          </w:tcPr>
          <w:p w:rsidR="00724957" w:rsidRPr="00724957" w:rsidRDefault="00724957" w:rsidP="00724957">
            <w:pPr>
              <w:spacing w:after="0" w:line="240" w:lineRule="auto"/>
              <w:rPr>
                <w:rFonts w:ascii="Times New Roman" w:eastAsia="Times New Roman" w:hAnsi="Times New Roman" w:cs="Times New Roman"/>
                <w:sz w:val="24"/>
                <w:szCs w:val="24"/>
                <w:lang w:eastAsia="ru-RU"/>
              </w:rPr>
            </w:pPr>
            <w:r w:rsidRPr="00724957">
              <w:rPr>
                <w:rFonts w:ascii="Times New Roman" w:eastAsia="Times New Roman" w:hAnsi="Times New Roman" w:cs="Times New Roman"/>
                <w:sz w:val="24"/>
                <w:szCs w:val="24"/>
                <w:lang w:eastAsia="ru-RU"/>
              </w:rPr>
              <w:br/>
              <w:t>Оценка на непрерывной основе</w:t>
            </w:r>
          </w:p>
        </w:tc>
      </w:tr>
      <w:tr w:rsidR="00724957" w:rsidRPr="00724957" w:rsidTr="00724957">
        <w:trPr>
          <w:tblCellSpacing w:w="0" w:type="dxa"/>
        </w:trPr>
        <w:tc>
          <w:tcPr>
            <w:tcW w:w="3345" w:type="dxa"/>
            <w:hideMark/>
          </w:tcPr>
          <w:p w:rsidR="00724957" w:rsidRPr="00724957" w:rsidRDefault="00724957" w:rsidP="00724957">
            <w:pPr>
              <w:spacing w:after="0" w:line="240" w:lineRule="auto"/>
              <w:rPr>
                <w:rFonts w:ascii="Times New Roman" w:eastAsia="Times New Roman" w:hAnsi="Times New Roman" w:cs="Times New Roman"/>
                <w:sz w:val="24"/>
                <w:szCs w:val="24"/>
                <w:lang w:eastAsia="ru-RU"/>
              </w:rPr>
            </w:pPr>
            <w:r w:rsidRPr="00724957">
              <w:rPr>
                <w:rFonts w:ascii="Times New Roman" w:eastAsia="Times New Roman" w:hAnsi="Times New Roman" w:cs="Times New Roman"/>
                <w:sz w:val="24"/>
                <w:szCs w:val="24"/>
                <w:lang w:eastAsia="ru-RU"/>
              </w:rPr>
              <w:br/>
              <w:t>Организация владеет всем капиталом</w:t>
            </w:r>
          </w:p>
        </w:tc>
        <w:tc>
          <w:tcPr>
            <w:tcW w:w="4350" w:type="dxa"/>
            <w:hideMark/>
          </w:tcPr>
          <w:p w:rsidR="00724957" w:rsidRPr="00724957" w:rsidRDefault="00724957" w:rsidP="00724957">
            <w:pPr>
              <w:spacing w:after="0" w:line="240" w:lineRule="auto"/>
              <w:rPr>
                <w:rFonts w:ascii="Times New Roman" w:eastAsia="Times New Roman" w:hAnsi="Times New Roman" w:cs="Times New Roman"/>
                <w:sz w:val="24"/>
                <w:szCs w:val="24"/>
                <w:lang w:eastAsia="ru-RU"/>
              </w:rPr>
            </w:pPr>
            <w:r w:rsidRPr="00724957">
              <w:rPr>
                <w:rFonts w:ascii="Times New Roman" w:eastAsia="Times New Roman" w:hAnsi="Times New Roman" w:cs="Times New Roman"/>
                <w:sz w:val="24"/>
                <w:szCs w:val="24"/>
                <w:lang w:eastAsia="ru-RU"/>
              </w:rPr>
              <w:br/>
              <w:t>Организация владеет капиталом лишь частично</w:t>
            </w:r>
          </w:p>
        </w:tc>
      </w:tr>
    </w:tbl>
    <w:p w:rsidR="00724957" w:rsidRPr="00724957" w:rsidRDefault="00724957" w:rsidP="00724957">
      <w:pPr>
        <w:spacing w:after="0" w:line="240" w:lineRule="auto"/>
        <w:rPr>
          <w:rFonts w:ascii="Times New Roman" w:eastAsia="Times New Roman" w:hAnsi="Times New Roman" w:cs="Times New Roman"/>
          <w:sz w:val="24"/>
          <w:szCs w:val="24"/>
          <w:lang w:eastAsia="ru-RU"/>
        </w:rPr>
      </w:pP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b/>
          <w:bCs/>
          <w:i/>
          <w:iCs/>
          <w:color w:val="000000"/>
          <w:sz w:val="27"/>
          <w:szCs w:val="27"/>
          <w:lang w:eastAsia="ru-RU"/>
        </w:rPr>
        <w:t>3. Оценка интеллектуального капитала</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Для интегральной стоимостной </w:t>
      </w:r>
      <w:r w:rsidRPr="00724957">
        <w:rPr>
          <w:rFonts w:ascii="Times New Roman" w:eastAsia="Times New Roman" w:hAnsi="Times New Roman" w:cs="Times New Roman"/>
          <w:b/>
          <w:bCs/>
          <w:i/>
          <w:iCs/>
          <w:color w:val="000000"/>
          <w:sz w:val="27"/>
          <w:szCs w:val="27"/>
          <w:lang w:eastAsia="ru-RU"/>
        </w:rPr>
        <w:t>оценки величины интеллектуального капитала</w:t>
      </w:r>
      <w:r w:rsidRPr="00724957">
        <w:rPr>
          <w:rFonts w:ascii="Times New Roman" w:eastAsia="Times New Roman" w:hAnsi="Times New Roman" w:cs="Times New Roman"/>
          <w:color w:val="000000"/>
          <w:sz w:val="27"/>
          <w:szCs w:val="27"/>
          <w:shd w:val="clear" w:color="auto" w:fill="FFFFFF"/>
          <w:lang w:eastAsia="ru-RU"/>
        </w:rPr>
        <w:t> применяется </w:t>
      </w:r>
      <w:r w:rsidRPr="00724957">
        <w:rPr>
          <w:rFonts w:ascii="Times New Roman" w:eastAsia="Times New Roman" w:hAnsi="Times New Roman" w:cs="Times New Roman"/>
          <w:b/>
          <w:bCs/>
          <w:color w:val="000000"/>
          <w:sz w:val="27"/>
          <w:szCs w:val="27"/>
          <w:u w:val="single"/>
          <w:lang w:eastAsia="ru-RU"/>
        </w:rPr>
        <w:t>коэффициент Тобина</w:t>
      </w:r>
      <w:r w:rsidRPr="00724957">
        <w:rPr>
          <w:rFonts w:ascii="Times New Roman" w:eastAsia="Times New Roman" w:hAnsi="Times New Roman" w:cs="Times New Roman"/>
          <w:color w:val="000000"/>
          <w:sz w:val="27"/>
          <w:szCs w:val="27"/>
          <w:shd w:val="clear" w:color="auto" w:fill="FFFFFF"/>
          <w:lang w:eastAsia="ru-RU"/>
        </w:rPr>
        <w:t>. Отношение рыночной цены компании к цене замещения ее реальных активов (зданий, сооружений, оборудования и запасов) носит название коэффициента Тобина по фамилии американского экономиста, впервые исследовавшего данное соотношение. </w:t>
      </w:r>
      <w:r w:rsidRPr="00724957">
        <w:rPr>
          <w:rFonts w:ascii="Times New Roman" w:eastAsia="Times New Roman" w:hAnsi="Times New Roman" w:cs="Times New Roman"/>
          <w:color w:val="000000"/>
          <w:sz w:val="27"/>
          <w:szCs w:val="27"/>
          <w:u w:val="single"/>
          <w:lang w:eastAsia="ru-RU"/>
        </w:rPr>
        <w:t>Рыночная цена компании наиболее достоверно проявляется лишь при реальной покупке ее другой компанией.</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Рассмотрим несколько примеров. В 1988 г. компания Филип Моррис купила фирму Крафт за 12,9 млрд долл. В то же время цена принадлежавших данной фирме зданий, сооружений и запасов составила лишь 1,3 млрд долл., а оставшаяся часть цены (11,6 млрд долл.) составила цену торговой марки, связей, маркетинговых возможностей, квалификации 51 000 работников. Таким образом, нематериальная часть в цене компании составила 90 %.</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bookmarkStart w:id="4" w:name="_ref491066265"/>
      <w:bookmarkEnd w:id="4"/>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 xml:space="preserve">Сегодня для большинства компаний значения коэффициента Тобина колеблются от 5 до 10. Для наукоемких фирм этот коэффициент еще больше. Так, в 1995 г., когда компания IBM поглотила Лотус, заплатив за нее 3,5 млрд долл., материальные активы которой оценивались в 230 млн долл., коэффициент Тобина достиг 15,2. Для отдельных компаний, действующих в сфере </w:t>
      </w:r>
      <w:r w:rsidRPr="00724957">
        <w:rPr>
          <w:rFonts w:ascii="Times New Roman" w:eastAsia="Times New Roman" w:hAnsi="Times New Roman" w:cs="Times New Roman"/>
          <w:color w:val="000000"/>
          <w:sz w:val="27"/>
          <w:szCs w:val="27"/>
          <w:shd w:val="clear" w:color="auto" w:fill="FFFFFF"/>
          <w:lang w:eastAsia="ru-RU"/>
        </w:rPr>
        <w:lastRenderedPageBreak/>
        <w:t>производства программного обеспечения и Интернет технологий, коэффициент Тобина может достигать нескольких сотен. Это означает, что в данных компаниях материальный капитал практически не принимает участия в создании стоимости, главный производственный фактор в них – интеллектуальный капитал. В среднем коэффициент Тобина в течение 1960-70-х годов изменялся мало, колеблясь между величинами 1 и 2. Начиная с начала 1980-х годов, наблюдается резкий рост этого коэффициента, который к началу XXI столетия достиг величины 6–7. При этом у высокотехнологичных и других наукоемких компаний его средняя величина превысила 15–20.</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Покупатель, таким образом, приобретает в основном не физические, а нематериальные активы (талант ее персонала, эффективность ее управляющих систем, менеджмента).</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Интеллектуальный капитал можно оценивать не только с помощью финансовых показателей. </w:t>
      </w:r>
      <w:r w:rsidRPr="00724957">
        <w:rPr>
          <w:rFonts w:ascii="Times New Roman" w:eastAsia="Times New Roman" w:hAnsi="Times New Roman" w:cs="Times New Roman"/>
          <w:b/>
          <w:bCs/>
          <w:color w:val="000000"/>
          <w:sz w:val="27"/>
          <w:szCs w:val="27"/>
          <w:u w:val="single"/>
          <w:lang w:eastAsia="ru-RU"/>
        </w:rPr>
        <w:t>Нефинансовые оценки</w:t>
      </w:r>
      <w:r w:rsidRPr="00724957">
        <w:rPr>
          <w:rFonts w:ascii="Times New Roman" w:eastAsia="Times New Roman" w:hAnsi="Times New Roman" w:cs="Times New Roman"/>
          <w:color w:val="000000"/>
          <w:sz w:val="27"/>
          <w:szCs w:val="27"/>
          <w:shd w:val="clear" w:color="auto" w:fill="FFFFFF"/>
          <w:lang w:eastAsia="ru-RU"/>
        </w:rPr>
        <w:t> производятся в целях анализа конкурентоспособности организации, а также факторов этой конкурентоспособности. Они могут использоваться внешними и внутренними потребителями (начиная от персонала и кончая инвесторами и акционерами). Эти оценки учитываются при определении стратегии, долгосрочных трендов в развитии организации. Как установлено, интеллектуальный капитал не только представляет собой самостоятельную ценность, он и порождает мультипликативный эффект по отношению к другим видам капитала, воздействуя на уровень эффективности их использования.</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В исследовании консалтинговой фирмы Ernst &amp; Young "Measures that Matter" приводятся </w:t>
      </w:r>
      <w:r w:rsidRPr="00724957">
        <w:rPr>
          <w:rFonts w:ascii="Times New Roman" w:eastAsia="Times New Roman" w:hAnsi="Times New Roman" w:cs="Times New Roman"/>
          <w:color w:val="000000"/>
          <w:sz w:val="27"/>
          <w:szCs w:val="27"/>
          <w:u w:val="single"/>
          <w:lang w:eastAsia="ru-RU"/>
        </w:rPr>
        <w:t>8 факторов</w:t>
      </w:r>
      <w:r w:rsidRPr="00724957">
        <w:rPr>
          <w:rFonts w:ascii="Times New Roman" w:eastAsia="Times New Roman" w:hAnsi="Times New Roman" w:cs="Times New Roman"/>
          <w:color w:val="000000"/>
          <w:sz w:val="27"/>
          <w:szCs w:val="27"/>
          <w:shd w:val="clear" w:color="auto" w:fill="FFFFFF"/>
          <w:lang w:eastAsia="ru-RU"/>
        </w:rPr>
        <w:t>, которые находятся </w:t>
      </w:r>
      <w:r w:rsidRPr="00724957">
        <w:rPr>
          <w:rFonts w:ascii="Times New Roman" w:eastAsia="Times New Roman" w:hAnsi="Times New Roman" w:cs="Times New Roman"/>
          <w:color w:val="000000"/>
          <w:sz w:val="27"/>
          <w:szCs w:val="27"/>
          <w:u w:val="single"/>
          <w:lang w:eastAsia="ru-RU"/>
        </w:rPr>
        <w:t>в зоне пристального внимания инвесторов на фондовом рынк</w:t>
      </w:r>
      <w:r w:rsidRPr="00724957">
        <w:rPr>
          <w:rFonts w:ascii="Times New Roman" w:eastAsia="Times New Roman" w:hAnsi="Times New Roman" w:cs="Times New Roman"/>
          <w:color w:val="000000"/>
          <w:sz w:val="27"/>
          <w:szCs w:val="27"/>
          <w:shd w:val="clear" w:color="auto" w:fill="FFFFFF"/>
          <w:lang w:eastAsia="ru-RU"/>
        </w:rPr>
        <w:t>е:</w:t>
      </w:r>
      <w:r w:rsidRPr="00724957">
        <w:rPr>
          <w:rFonts w:ascii="Times New Roman" w:eastAsia="Times New Roman" w:hAnsi="Times New Roman" w:cs="Times New Roman"/>
          <w:color w:val="000000"/>
          <w:sz w:val="27"/>
          <w:szCs w:val="27"/>
          <w:lang w:eastAsia="ru-RU"/>
        </w:rPr>
        <w:br/>
      </w:r>
    </w:p>
    <w:p w:rsidR="00724957" w:rsidRPr="00724957" w:rsidRDefault="00724957" w:rsidP="00724957">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Качество менеджмента.</w:t>
      </w:r>
    </w:p>
    <w:p w:rsidR="00724957" w:rsidRPr="00724957" w:rsidRDefault="00724957" w:rsidP="00724957">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Результативность совершенствования продуктов.</w:t>
      </w:r>
    </w:p>
    <w:p w:rsidR="00724957" w:rsidRPr="00724957" w:rsidRDefault="00724957" w:rsidP="00724957">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Сила маркетинговой позиции.</w:t>
      </w:r>
    </w:p>
    <w:p w:rsidR="00724957" w:rsidRPr="00724957" w:rsidRDefault="00724957" w:rsidP="00724957">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Корпоративная культура: </w:t>
      </w:r>
      <w:r w:rsidRPr="00724957">
        <w:rPr>
          <w:rFonts w:ascii="Times New Roman" w:eastAsia="Times New Roman" w:hAnsi="Times New Roman" w:cs="Times New Roman"/>
          <w:i/>
          <w:iCs/>
          <w:color w:val="000000"/>
          <w:sz w:val="27"/>
          <w:szCs w:val="27"/>
          <w:lang w:eastAsia="ru-RU"/>
        </w:rPr>
        <w:t>способность привлекать талантливых людей, качество системы оплаты труда, текучесть персонала, навыки персонала, тренинги и образование.</w:t>
      </w:r>
    </w:p>
    <w:p w:rsidR="00724957" w:rsidRPr="00724957" w:rsidRDefault="00724957" w:rsidP="00724957">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Политика оплаты труда в отношении высшего менеджмента.</w:t>
      </w:r>
    </w:p>
    <w:p w:rsidR="00724957" w:rsidRPr="00724957" w:rsidRDefault="00724957" w:rsidP="00724957">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Качество коммуникаций с инвесторами.</w:t>
      </w:r>
    </w:p>
    <w:p w:rsidR="00724957" w:rsidRPr="00724957" w:rsidRDefault="00724957" w:rsidP="00724957">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Качество продуктов и услуг.</w:t>
      </w:r>
    </w:p>
    <w:p w:rsidR="00724957" w:rsidRPr="00724957" w:rsidRDefault="00724957" w:rsidP="00724957">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lastRenderedPageBreak/>
        <w:br/>
        <w:t>Удовлетворение потребностей клиентов.</w:t>
      </w:r>
    </w:p>
    <w:p w:rsidR="00724957" w:rsidRPr="00724957" w:rsidRDefault="00724957" w:rsidP="00724957">
      <w:pPr>
        <w:spacing w:after="0" w:line="240" w:lineRule="auto"/>
        <w:rPr>
          <w:rFonts w:ascii="Times New Roman" w:eastAsia="Times New Roman" w:hAnsi="Times New Roman" w:cs="Times New Roman"/>
          <w:sz w:val="24"/>
          <w:szCs w:val="24"/>
          <w:lang w:eastAsia="ru-RU"/>
        </w:rPr>
      </w:pP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Эти факторы, в свою очередь, развертываются в 39 более детальных показателей. В частности, корпоративная культура оценивается такими индикаторами, как способность привлекать талантливых людей, качество системы оплаты труда, текучесть персонала, навыки персонала, тренинги и образование.</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Представленные 8 факторов демонстрируют интерес инвесторов к таким показателям, которые </w:t>
      </w:r>
      <w:r w:rsidRPr="00724957">
        <w:rPr>
          <w:rFonts w:ascii="Times New Roman" w:eastAsia="Times New Roman" w:hAnsi="Times New Roman" w:cs="Times New Roman"/>
          <w:color w:val="000000"/>
          <w:sz w:val="27"/>
          <w:szCs w:val="27"/>
          <w:u w:val="single"/>
          <w:lang w:eastAsia="ru-RU"/>
        </w:rPr>
        <w:t>не находят места в стандартных финансовых документах, </w:t>
      </w:r>
      <w:r w:rsidRPr="00724957">
        <w:rPr>
          <w:rFonts w:ascii="Times New Roman" w:eastAsia="Times New Roman" w:hAnsi="Times New Roman" w:cs="Times New Roman"/>
          <w:color w:val="000000"/>
          <w:sz w:val="27"/>
          <w:szCs w:val="27"/>
          <w:shd w:val="clear" w:color="auto" w:fill="FFFFFF"/>
          <w:lang w:eastAsia="ru-RU"/>
        </w:rPr>
        <w:t>но в то же время отражают важные стороны деятельности компаний. Таким образом, интеллектуальный капитал можно рассматривать не только в контексте внутрикорпоративного менеджмента, но и в рамках проблем развития фондового рынка.</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Для оценки </w:t>
      </w:r>
      <w:r w:rsidRPr="00724957">
        <w:rPr>
          <w:rFonts w:ascii="Times New Roman" w:eastAsia="Times New Roman" w:hAnsi="Times New Roman" w:cs="Times New Roman"/>
          <w:b/>
          <w:bCs/>
          <w:i/>
          <w:iCs/>
          <w:color w:val="000000"/>
          <w:sz w:val="27"/>
          <w:szCs w:val="27"/>
          <w:lang w:eastAsia="ru-RU"/>
        </w:rPr>
        <w:t>человеческого капитала </w:t>
      </w:r>
      <w:r w:rsidRPr="00724957">
        <w:rPr>
          <w:rFonts w:ascii="Times New Roman" w:eastAsia="Times New Roman" w:hAnsi="Times New Roman" w:cs="Times New Roman"/>
          <w:b/>
          <w:bCs/>
          <w:i/>
          <w:iCs/>
          <w:color w:val="000000"/>
          <w:sz w:val="27"/>
          <w:szCs w:val="27"/>
          <w:u w:val="single"/>
          <w:lang w:eastAsia="ru-RU"/>
        </w:rPr>
        <w:t>(индивидуальной компетенции</w:t>
      </w:r>
      <w:r w:rsidRPr="00724957">
        <w:rPr>
          <w:rFonts w:ascii="Times New Roman" w:eastAsia="Times New Roman" w:hAnsi="Times New Roman" w:cs="Times New Roman"/>
          <w:b/>
          <w:bCs/>
          <w:i/>
          <w:iCs/>
          <w:color w:val="000000"/>
          <w:sz w:val="27"/>
          <w:szCs w:val="27"/>
          <w:lang w:eastAsia="ru-RU"/>
        </w:rPr>
        <w:t>)</w:t>
      </w:r>
      <w:r w:rsidRPr="00724957">
        <w:rPr>
          <w:rFonts w:ascii="Times New Roman" w:eastAsia="Times New Roman" w:hAnsi="Times New Roman" w:cs="Times New Roman"/>
          <w:color w:val="000000"/>
          <w:sz w:val="27"/>
          <w:szCs w:val="27"/>
          <w:shd w:val="clear" w:color="auto" w:fill="FFFFFF"/>
          <w:lang w:eastAsia="ru-RU"/>
        </w:rPr>
        <w:t> можно использовать следующие показатели:</w:t>
      </w:r>
      <w:r w:rsidRPr="00724957">
        <w:rPr>
          <w:rFonts w:ascii="Times New Roman" w:eastAsia="Times New Roman" w:hAnsi="Times New Roman" w:cs="Times New Roman"/>
          <w:color w:val="000000"/>
          <w:sz w:val="27"/>
          <w:szCs w:val="27"/>
          <w:lang w:eastAsia="ru-RU"/>
        </w:rPr>
        <w:br/>
      </w:r>
    </w:p>
    <w:p w:rsidR="00724957" w:rsidRPr="00724957" w:rsidRDefault="00724957" w:rsidP="00724957">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Состав человеческих ресурсов организации и управление ими.</w:t>
      </w:r>
    </w:p>
    <w:p w:rsidR="00724957" w:rsidRPr="00724957" w:rsidRDefault="00724957" w:rsidP="00724957">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Степень удовлетворенности персонала.</w:t>
      </w:r>
    </w:p>
    <w:p w:rsidR="00724957" w:rsidRPr="00724957" w:rsidRDefault="00724957" w:rsidP="00724957">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Продажи в расчете на каждого занятого, в том числе в администрации.</w:t>
      </w:r>
    </w:p>
    <w:p w:rsidR="00724957" w:rsidRPr="00724957" w:rsidRDefault="00724957" w:rsidP="00724957">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Добавленная стоимость в расчете на одного занятого, в том числе в администрации.</w:t>
      </w:r>
    </w:p>
    <w:p w:rsidR="00724957" w:rsidRPr="00724957" w:rsidRDefault="00724957" w:rsidP="00724957">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Образование персонала.</w:t>
      </w:r>
    </w:p>
    <w:p w:rsidR="00724957" w:rsidRPr="00724957" w:rsidRDefault="00724957" w:rsidP="00724957">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Опыт персонала, число лет в рамках данной профессии.</w:t>
      </w:r>
    </w:p>
    <w:p w:rsidR="00724957" w:rsidRPr="00724957" w:rsidRDefault="00724957" w:rsidP="00724957">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Затраты на обучение в расчете на одного занятого.</w:t>
      </w:r>
    </w:p>
    <w:p w:rsidR="00724957" w:rsidRPr="00724957" w:rsidRDefault="00724957" w:rsidP="00724957">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Количество рабочих дней в году, потраченных на повышение квалификации работников.</w:t>
      </w:r>
    </w:p>
    <w:p w:rsidR="00724957" w:rsidRPr="00724957" w:rsidRDefault="00724957" w:rsidP="00724957">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Текучесть персонала.</w:t>
      </w:r>
    </w:p>
    <w:p w:rsidR="00724957" w:rsidRPr="00724957" w:rsidRDefault="00724957" w:rsidP="00724957">
      <w:pPr>
        <w:spacing w:after="0" w:line="240" w:lineRule="auto"/>
        <w:rPr>
          <w:rFonts w:ascii="Times New Roman" w:eastAsia="Times New Roman" w:hAnsi="Times New Roman" w:cs="Times New Roman"/>
          <w:sz w:val="24"/>
          <w:szCs w:val="24"/>
          <w:lang w:eastAsia="ru-RU"/>
        </w:rPr>
      </w:pP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К показателям, </w:t>
      </w:r>
      <w:r w:rsidRPr="00724957">
        <w:rPr>
          <w:rFonts w:ascii="Times New Roman" w:eastAsia="Times New Roman" w:hAnsi="Times New Roman" w:cs="Times New Roman"/>
          <w:color w:val="000000"/>
          <w:sz w:val="27"/>
          <w:szCs w:val="27"/>
          <w:u w:val="single"/>
          <w:lang w:eastAsia="ru-RU"/>
        </w:rPr>
        <w:t>оценивающим </w:t>
      </w:r>
      <w:r w:rsidRPr="00724957">
        <w:rPr>
          <w:rFonts w:ascii="Times New Roman" w:eastAsia="Times New Roman" w:hAnsi="Times New Roman" w:cs="Times New Roman"/>
          <w:b/>
          <w:bCs/>
          <w:i/>
          <w:iCs/>
          <w:color w:val="000000"/>
          <w:sz w:val="27"/>
          <w:szCs w:val="27"/>
          <w:u w:val="single"/>
          <w:lang w:eastAsia="ru-RU"/>
        </w:rPr>
        <w:t>внешние структуры</w:t>
      </w:r>
      <w:r w:rsidRPr="00724957">
        <w:rPr>
          <w:rFonts w:ascii="Times New Roman" w:eastAsia="Times New Roman" w:hAnsi="Times New Roman" w:cs="Times New Roman"/>
          <w:color w:val="000000"/>
          <w:sz w:val="27"/>
          <w:szCs w:val="27"/>
          <w:shd w:val="clear" w:color="auto" w:fill="FFFFFF"/>
          <w:lang w:eastAsia="ru-RU"/>
        </w:rPr>
        <w:t>, можно отнести следующие:</w:t>
      </w:r>
      <w:r w:rsidRPr="00724957">
        <w:rPr>
          <w:rFonts w:ascii="Times New Roman" w:eastAsia="Times New Roman" w:hAnsi="Times New Roman" w:cs="Times New Roman"/>
          <w:color w:val="000000"/>
          <w:sz w:val="27"/>
          <w:szCs w:val="27"/>
          <w:lang w:eastAsia="ru-RU"/>
        </w:rPr>
        <w:br/>
      </w:r>
    </w:p>
    <w:p w:rsidR="00724957" w:rsidRPr="00724957" w:rsidRDefault="00724957" w:rsidP="00724957">
      <w:pPr>
        <w:numPr>
          <w:ilvl w:val="0"/>
          <w:numId w:val="3"/>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lastRenderedPageBreak/>
        <w:br/>
        <w:t>Состав клиентов, способы взаимодействий с клиентами и степень удовлетворения их потребностей.</w:t>
      </w:r>
    </w:p>
    <w:p w:rsidR="00724957" w:rsidRPr="00724957" w:rsidRDefault="00724957" w:rsidP="00724957">
      <w:pPr>
        <w:numPr>
          <w:ilvl w:val="0"/>
          <w:numId w:val="3"/>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Прибыль в расчете на клиента.</w:t>
      </w:r>
    </w:p>
    <w:p w:rsidR="00724957" w:rsidRPr="00724957" w:rsidRDefault="00724957" w:rsidP="00724957">
      <w:pPr>
        <w:numPr>
          <w:ilvl w:val="0"/>
          <w:numId w:val="3"/>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Продажи в расчете на одного клиента.</w:t>
      </w:r>
    </w:p>
    <w:p w:rsidR="00724957" w:rsidRPr="00724957" w:rsidRDefault="00724957" w:rsidP="00724957">
      <w:pPr>
        <w:numPr>
          <w:ilvl w:val="0"/>
          <w:numId w:val="3"/>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Клиенты, формирующие имидж организации.</w:t>
      </w:r>
    </w:p>
    <w:p w:rsidR="00724957" w:rsidRPr="00724957" w:rsidRDefault="00724957" w:rsidP="00724957">
      <w:pPr>
        <w:numPr>
          <w:ilvl w:val="0"/>
          <w:numId w:val="3"/>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Количество клиентов, их возрастная структура (как долго они являются клиентами организации).</w:t>
      </w:r>
    </w:p>
    <w:p w:rsidR="00724957" w:rsidRPr="00724957" w:rsidRDefault="00724957" w:rsidP="00724957">
      <w:pPr>
        <w:numPr>
          <w:ilvl w:val="0"/>
          <w:numId w:val="3"/>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Повторяемость заказов.</w:t>
      </w:r>
    </w:p>
    <w:p w:rsidR="00724957" w:rsidRPr="00724957" w:rsidRDefault="00724957" w:rsidP="00724957">
      <w:pPr>
        <w:spacing w:after="0" w:line="240" w:lineRule="auto"/>
        <w:rPr>
          <w:rFonts w:ascii="Times New Roman" w:eastAsia="Times New Roman" w:hAnsi="Times New Roman" w:cs="Times New Roman"/>
          <w:sz w:val="24"/>
          <w:szCs w:val="24"/>
          <w:lang w:eastAsia="ru-RU"/>
        </w:rPr>
      </w:pP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b/>
          <w:bCs/>
          <w:i/>
          <w:iCs/>
          <w:color w:val="000000"/>
          <w:sz w:val="27"/>
          <w:szCs w:val="27"/>
          <w:u w:val="single"/>
          <w:lang w:eastAsia="ru-RU"/>
        </w:rPr>
        <w:t>Внутренние структуры</w:t>
      </w:r>
      <w:r w:rsidRPr="00724957">
        <w:rPr>
          <w:rFonts w:ascii="Times New Roman" w:eastAsia="Times New Roman" w:hAnsi="Times New Roman" w:cs="Times New Roman"/>
          <w:color w:val="000000"/>
          <w:sz w:val="27"/>
          <w:szCs w:val="27"/>
          <w:u w:val="single"/>
          <w:lang w:eastAsia="ru-RU"/>
        </w:rPr>
        <w:t> можно оценивать</w:t>
      </w:r>
      <w:r w:rsidRPr="00724957">
        <w:rPr>
          <w:rFonts w:ascii="Times New Roman" w:eastAsia="Times New Roman" w:hAnsi="Times New Roman" w:cs="Times New Roman"/>
          <w:color w:val="000000"/>
          <w:sz w:val="27"/>
          <w:szCs w:val="27"/>
          <w:shd w:val="clear" w:color="auto" w:fill="FFFFFF"/>
          <w:lang w:eastAsia="ru-RU"/>
        </w:rPr>
        <w:t> с помощью следующих показателей:</w:t>
      </w:r>
      <w:r w:rsidRPr="00724957">
        <w:rPr>
          <w:rFonts w:ascii="Times New Roman" w:eastAsia="Times New Roman" w:hAnsi="Times New Roman" w:cs="Times New Roman"/>
          <w:color w:val="000000"/>
          <w:sz w:val="27"/>
          <w:szCs w:val="27"/>
          <w:lang w:eastAsia="ru-RU"/>
        </w:rPr>
        <w:br/>
      </w:r>
    </w:p>
    <w:p w:rsidR="00724957" w:rsidRPr="00724957" w:rsidRDefault="00724957" w:rsidP="00724957">
      <w:pPr>
        <w:numPr>
          <w:ilvl w:val="0"/>
          <w:numId w:val="4"/>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Масштабы, функции и применение информационных систем.</w:t>
      </w:r>
    </w:p>
    <w:p w:rsidR="00724957" w:rsidRPr="00724957" w:rsidRDefault="00724957" w:rsidP="00724957">
      <w:pPr>
        <w:numPr>
          <w:ilvl w:val="0"/>
          <w:numId w:val="4"/>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Состав, оборудование и эффективность административных систем и </w:t>
      </w:r>
      <w:hyperlink r:id="rId9" w:history="1">
        <w:r w:rsidRPr="00724957">
          <w:rPr>
            <w:rFonts w:ascii="Times New Roman" w:eastAsia="Times New Roman" w:hAnsi="Times New Roman" w:cs="Times New Roman"/>
            <w:color w:val="0000FF"/>
            <w:sz w:val="27"/>
            <w:szCs w:val="27"/>
            <w:u w:val="single"/>
            <w:lang w:eastAsia="ru-RU"/>
          </w:rPr>
          <w:t>организационных структур</w:t>
        </w:r>
      </w:hyperlink>
      <w:r w:rsidRPr="00724957">
        <w:rPr>
          <w:rFonts w:ascii="Times New Roman" w:eastAsia="Times New Roman" w:hAnsi="Times New Roman" w:cs="Times New Roman"/>
          <w:color w:val="000000"/>
          <w:sz w:val="27"/>
          <w:szCs w:val="27"/>
          <w:lang w:eastAsia="ru-RU"/>
        </w:rPr>
        <w:t>.</w:t>
      </w:r>
    </w:p>
    <w:p w:rsidR="00724957" w:rsidRPr="00724957" w:rsidRDefault="00724957" w:rsidP="00724957">
      <w:pPr>
        <w:numPr>
          <w:ilvl w:val="0"/>
          <w:numId w:val="4"/>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Инвестиции:</w:t>
      </w:r>
    </w:p>
    <w:p w:rsidR="00724957" w:rsidRPr="00724957" w:rsidRDefault="00724957" w:rsidP="00724957">
      <w:pPr>
        <w:numPr>
          <w:ilvl w:val="0"/>
          <w:numId w:val="4"/>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в новые филиалы и новые методы управления. Эти инвестиции обычно рассматриваются как затраты. Однако они должны постоянно анализироваться и отражаться в соответствующих ежегодных документах. Эти инвестиции лучше представлять в виде доли от продаж или в виде доли от добавленной стоимости.</w:t>
      </w:r>
    </w:p>
    <w:p w:rsidR="00724957" w:rsidRPr="00724957" w:rsidRDefault="00724957" w:rsidP="00724957">
      <w:pPr>
        <w:numPr>
          <w:ilvl w:val="0"/>
          <w:numId w:val="4"/>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в НИОКР;</w:t>
      </w:r>
    </w:p>
    <w:p w:rsidR="00724957" w:rsidRPr="00724957" w:rsidRDefault="00724957" w:rsidP="00724957">
      <w:pPr>
        <w:numPr>
          <w:ilvl w:val="0"/>
          <w:numId w:val="4"/>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в информационные системы, в целом в информационные технологии в рамках организации. Также можно использовать показатель числа компьютеров в расчете на одного занятого.</w:t>
      </w:r>
    </w:p>
    <w:p w:rsidR="00724957" w:rsidRPr="00724957" w:rsidRDefault="00724957" w:rsidP="00724957">
      <w:pPr>
        <w:numPr>
          <w:ilvl w:val="0"/>
          <w:numId w:val="4"/>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Ценности, отношения и т.д.</w:t>
      </w:r>
    </w:p>
    <w:p w:rsidR="00724957" w:rsidRPr="00724957" w:rsidRDefault="00724957" w:rsidP="00724957">
      <w:pPr>
        <w:numPr>
          <w:ilvl w:val="0"/>
          <w:numId w:val="5"/>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Стабильность организации, ее возраст, текучесть управленческого персонала, доля персонала со стажем работы в данной организации менее двух лет.</w:t>
      </w:r>
    </w:p>
    <w:p w:rsidR="00724957" w:rsidRPr="00724957" w:rsidRDefault="00724957" w:rsidP="00724957">
      <w:pPr>
        <w:spacing w:after="0" w:line="240" w:lineRule="auto"/>
        <w:rPr>
          <w:rFonts w:ascii="Times New Roman" w:eastAsia="Times New Roman" w:hAnsi="Times New Roman" w:cs="Times New Roman"/>
          <w:sz w:val="24"/>
          <w:szCs w:val="24"/>
          <w:lang w:eastAsia="ru-RU"/>
        </w:rPr>
      </w:pPr>
      <w:r w:rsidRPr="00724957">
        <w:rPr>
          <w:rFonts w:ascii="Times New Roman" w:eastAsia="Times New Roman" w:hAnsi="Times New Roman" w:cs="Times New Roman"/>
          <w:color w:val="000000"/>
          <w:sz w:val="27"/>
          <w:szCs w:val="27"/>
          <w:lang w:eastAsia="ru-RU"/>
        </w:rPr>
        <w:lastRenderedPageBreak/>
        <w:br/>
      </w:r>
      <w:r w:rsidRPr="00724957">
        <w:rPr>
          <w:rFonts w:ascii="Times New Roman" w:eastAsia="Times New Roman" w:hAnsi="Times New Roman" w:cs="Times New Roman"/>
          <w:color w:val="000000"/>
          <w:sz w:val="27"/>
          <w:szCs w:val="27"/>
          <w:shd w:val="clear" w:color="auto" w:fill="FFFFFF"/>
          <w:lang w:eastAsia="ru-RU"/>
        </w:rPr>
        <w:t>Все виды оценки можно подразделить на следующие:</w:t>
      </w:r>
      <w:r w:rsidRPr="00724957">
        <w:rPr>
          <w:rFonts w:ascii="Times New Roman" w:eastAsia="Times New Roman" w:hAnsi="Times New Roman" w:cs="Times New Roman"/>
          <w:color w:val="000000"/>
          <w:sz w:val="27"/>
          <w:szCs w:val="27"/>
          <w:lang w:eastAsia="ru-RU"/>
        </w:rPr>
        <w:br/>
      </w:r>
    </w:p>
    <w:p w:rsidR="00724957" w:rsidRPr="00724957" w:rsidRDefault="00724957" w:rsidP="00724957">
      <w:pPr>
        <w:numPr>
          <w:ilvl w:val="0"/>
          <w:numId w:val="6"/>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Состав того или иного капитала – человеческого, клиентского, структурного.</w:t>
      </w:r>
    </w:p>
    <w:p w:rsidR="00724957" w:rsidRPr="00724957" w:rsidRDefault="00724957" w:rsidP="00724957">
      <w:pPr>
        <w:numPr>
          <w:ilvl w:val="0"/>
          <w:numId w:val="6"/>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Меры, принимаемые администрацией по отношению к тому или иному капиталу.</w:t>
      </w:r>
    </w:p>
    <w:p w:rsidR="00724957" w:rsidRPr="00724957" w:rsidRDefault="00724957" w:rsidP="00724957">
      <w:pPr>
        <w:numPr>
          <w:ilvl w:val="0"/>
          <w:numId w:val="6"/>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724957">
        <w:rPr>
          <w:rFonts w:ascii="Times New Roman" w:eastAsia="Times New Roman" w:hAnsi="Times New Roman" w:cs="Times New Roman"/>
          <w:color w:val="000000"/>
          <w:sz w:val="27"/>
          <w:szCs w:val="27"/>
          <w:lang w:eastAsia="ru-RU"/>
        </w:rPr>
        <w:br/>
        <w:t>Результат, полученный в результате этих действий.</w:t>
      </w:r>
    </w:p>
    <w:p w:rsidR="00C34CEE" w:rsidRDefault="00724957" w:rsidP="00724957">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В процессе измерения интеллектуального капитала основной акцент делается на тех показателях, которые позволяют достичь устойчивого роста конкурентоспособности организации и ее капитализации.</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b/>
          <w:bCs/>
          <w:i/>
          <w:iCs/>
          <w:color w:val="000000"/>
          <w:sz w:val="27"/>
          <w:szCs w:val="27"/>
          <w:u w:val="single"/>
          <w:lang w:eastAsia="ru-RU"/>
        </w:rPr>
        <w:t>Главная цель оценки интеллектуального капитала</w:t>
      </w:r>
      <w:r w:rsidRPr="00724957">
        <w:rPr>
          <w:rFonts w:ascii="Times New Roman" w:eastAsia="Times New Roman" w:hAnsi="Times New Roman" w:cs="Times New Roman"/>
          <w:color w:val="000000"/>
          <w:sz w:val="27"/>
          <w:szCs w:val="27"/>
          <w:shd w:val="clear" w:color="auto" w:fill="FFFFFF"/>
          <w:lang w:eastAsia="ru-RU"/>
        </w:rPr>
        <w:t> – обеспечение устойчивого развития организации. Интеллектуальный капитал представляет собой основу для будущего роста. Поэтому его оценка помогает формировать долгосрочную стратегию организации в постоянно меняющейся внешней обстановке и используется как инструмент коммуникаций.</w:t>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lang w:eastAsia="ru-RU"/>
        </w:rPr>
        <w:br/>
      </w:r>
      <w:r w:rsidRPr="00724957">
        <w:rPr>
          <w:rFonts w:ascii="Times New Roman" w:eastAsia="Times New Roman" w:hAnsi="Times New Roman" w:cs="Times New Roman"/>
          <w:color w:val="000000"/>
          <w:sz w:val="27"/>
          <w:szCs w:val="27"/>
          <w:shd w:val="clear" w:color="auto" w:fill="FFFFFF"/>
          <w:lang w:eastAsia="ru-RU"/>
        </w:rPr>
        <w:t>Несмотря на то, что интеллектуальный капитал становится ведущим фактором экономического роста компаний, регионов и стран, </w:t>
      </w:r>
      <w:r w:rsidRPr="00724957">
        <w:rPr>
          <w:rFonts w:ascii="Times New Roman" w:eastAsia="Times New Roman" w:hAnsi="Times New Roman" w:cs="Times New Roman"/>
          <w:b/>
          <w:bCs/>
          <w:i/>
          <w:iCs/>
          <w:color w:val="000000"/>
          <w:sz w:val="27"/>
          <w:szCs w:val="27"/>
          <w:lang w:eastAsia="ru-RU"/>
        </w:rPr>
        <w:t>традиционная экономическая теория и управленческая практика продолжают делать главные акценты на физических активах и материальных продуктах труда. </w:t>
      </w:r>
      <w:r w:rsidRPr="00724957">
        <w:rPr>
          <w:rFonts w:ascii="Times New Roman" w:eastAsia="Times New Roman" w:hAnsi="Times New Roman" w:cs="Times New Roman"/>
          <w:color w:val="000000"/>
          <w:sz w:val="27"/>
          <w:szCs w:val="27"/>
          <w:shd w:val="clear" w:color="auto" w:fill="FFFFFF"/>
          <w:lang w:eastAsia="ru-RU"/>
        </w:rPr>
        <w:t>Новые подходы к развитию фирм и организаций требуют переноса акцента управленческих воздействий на интеллектуальный капитал, применения новых подходов и методов и в их числе менеджмента знаний.</w:t>
      </w:r>
    </w:p>
    <w:sectPr w:rsidR="00C34C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2107AC"/>
    <w:multiLevelType w:val="multilevel"/>
    <w:tmpl w:val="F5D46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AA26A29"/>
    <w:multiLevelType w:val="multilevel"/>
    <w:tmpl w:val="FABEE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1945A16"/>
    <w:multiLevelType w:val="multilevel"/>
    <w:tmpl w:val="9CD4D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66D6127"/>
    <w:multiLevelType w:val="multilevel"/>
    <w:tmpl w:val="9BFA6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9A0680F"/>
    <w:multiLevelType w:val="multilevel"/>
    <w:tmpl w:val="BBC4D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84F2FD9"/>
    <w:multiLevelType w:val="multilevel"/>
    <w:tmpl w:val="A120B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0"/>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1654"/>
    <w:rsid w:val="005D5B60"/>
    <w:rsid w:val="00724957"/>
    <w:rsid w:val="00837EF0"/>
    <w:rsid w:val="00A01DCF"/>
    <w:rsid w:val="00AF6105"/>
    <w:rsid w:val="00C34CEE"/>
    <w:rsid w:val="00F41654"/>
    <w:rsid w:val="00FD46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BAF7DC-5B13-4975-9BE8-0EF841052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2495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5262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endocs.ru/v35621/%D0%98%D0%BD%D1%84%D0%BE%D1%80%D0%BC%D0%B0%D1%86%D0%B8%D0%BE%D0%BD%D0%BD%D1%8B%D0%B5_%D1%82%D0%B5%D1%85%D0%BD%D0%BE%D0%BB%D0%BE%D0%B3%D0%B8%D0%B8" TargetMode="External"/><Relationship Id="rId3" Type="http://schemas.openxmlformats.org/officeDocument/2006/relationships/settings" Target="settings.xml"/><Relationship Id="rId7" Type="http://schemas.openxmlformats.org/officeDocument/2006/relationships/hyperlink" Target="http://gendocs.ru/v30666/%D0%9C%D0%B0%D1%81%D1%81%D0%B8%D0%B2%D1%8B"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theme" Target="theme/theme1.xml"/><Relationship Id="rId5" Type="http://schemas.openxmlformats.org/officeDocument/2006/relationships/image" Target="media/image1.gi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gendocs.ru/v26353/%D0%9E%D1%80%D0%B3%D0%B0%D0%BD%D0%B8%D0%B7%D0%B0%D1%86%D0%B8%D0%BE%D0%BD%D0%BD%D1%8B%D0%B5_%D1%81%D1%82%D1%80%D1%83%D0%BA%D1%82%D1%83%D1%80%D1%8B"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2834</Words>
  <Characters>16158</Characters>
  <Application>Microsoft Office Word</Application>
  <DocSecurity>0</DocSecurity>
  <Lines>134</Lines>
  <Paragraphs>37</Paragraphs>
  <ScaleCrop>false</ScaleCrop>
  <Company/>
  <LinksUpToDate>false</LinksUpToDate>
  <CharactersWithSpaces>18955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Мадина Рахимбердинова</dc:creator>
  <cp:keywords/>
  <dc:description/>
  <cp:lastModifiedBy>Мадина Рахимбердинова</cp:lastModifiedBy>
  <cp:revision>3</cp:revision>
  <dcterms:created xsi:type="dcterms:W3CDTF">2020-02-21T12:37:00Z</dcterms:created>
  <dcterms:modified xsi:type="dcterms:W3CDTF">2020-02-21T12:38:00Z</dcterms:modified>
</cp:coreProperties>
</file>